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/>
        <w:jc w:val="center"/>
      </w:pPr>
      <w:r>
        <w:rPr>
          <w:rFonts w:ascii="Arial" w:hAnsi="Arial"/>
          <w:b/>
          <w:color w:val="117C83"/>
          <w:sz w:val="26"/>
        </w:rPr>
        <w:t>СПРАВОЧНИК</w:t>
      </w:r>
    </w:p>
    <w:p>
      <w:pPr>
        <w:pStyle w:val="Title"/>
        <w:spacing w:before="260" w:after="180"/>
        <w:jc w:val="center"/>
      </w:pPr>
      <w:r>
        <w:rPr>
          <w:rFonts w:ascii="Arial" w:hAnsi="Arial"/>
          <w:b/>
          <w:color w:val="16324F"/>
          <w:sz w:val="64"/>
        </w:rPr>
        <w:t>«УМНИК‑2026»</w:t>
      </w:r>
    </w:p>
    <w:p>
      <w:pPr>
        <w:spacing w:after="400"/>
        <w:jc w:val="center"/>
      </w:pPr>
      <w:r>
        <w:rPr>
          <w:rFonts w:ascii="Arial" w:hAnsi="Arial"/>
          <w:color w:val="586474"/>
          <w:sz w:val="24"/>
        </w:rPr>
        <w:t>Условия • направления • партнёры • идеи • результаты Краснодарского края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1D7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C46A18"/>
                <w:sz w:val="24"/>
              </w:rPr>
              <w:t>ПРИЁМ ЗАЯВОК И ОТБОР ЗАВЕРШЕНЫ</w:t>
            </w:r>
          </w:p>
        </w:tc>
      </w:tr>
    </w:tbl>
    <w:p>
      <w:pPr>
        <w:spacing w:before="340"/>
        <w:jc w:val="center"/>
      </w:pPr>
      <w:r>
        <w:rPr>
          <w:color w:val="586474"/>
          <w:sz w:val="20"/>
        </w:rPr>
        <w:t>Состояние сведений: 13 октября 2026 года</w:t>
      </w:r>
    </w:p>
    <w:p>
      <w:pPr>
        <w:spacing w:before="800"/>
        <w:jc w:val="center"/>
      </w:pPr>
      <w:r>
        <w:rPr>
          <w:i/>
          <w:color w:val="586474"/>
          <w:sz w:val="18"/>
        </w:rPr>
        <w:t>Подготовлено как единый автономный документ. Внешних ссылок и кликабельных URL в тексте нет.</w:t>
      </w:r>
    </w:p>
    <w:p>
      <w:r>
        <w:br w:type="page"/>
      </w:r>
    </w:p>
    <w:p>
      <w:pPr>
        <w:pStyle w:val="Heading1"/>
        <w:keepNext/>
      </w:pPr>
      <w:r>
        <w:t>КРАТКО. Ключевые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Сведения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Организатор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Фонд содействия инновациям (ФСИ), программа «Участник молодёжного научно-инновационного конкурса».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Приём заявок закончился 27 мая 2026 года в 12:00 по московскому времени; итоги конкурса опубликованы.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Грант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500 000 рублей на научно-исследовательскую работу и оценку коммерческого потенциала результата.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Срок проекта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До 12 месяцев; в объявлениях 2026 года указывался план выполнения в два этапа.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Тематические направления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Шесть направлений: цифровые технологии; медицина; новые материалы и химия; приборы и интеллектуальное производство; биотехнологии; ресурсосберегающая энергетика.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Конкурсный масштаб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В опубликованных итогах фигурируют 500 победивших проектов; один из отчётов приводит 3 378 заявок из 79 регионов.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Краснодарский край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20 победителей по региональной сводке.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Индустриальные задачи</w:t>
            </w:r>
          </w:p>
        </w:tc>
        <w:tc>
          <w:tcPr>
            <w:tcW w:type="dxa" w:w="82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Более 350 технологических задач; в публикациях встречаются подсчёты 355 и 356. Число организаций-партнёров обычно указывается как 24, в отдельных материалах встречается 23.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C46A18"/>
                <w:sz w:val="22"/>
              </w:rPr>
              <w:t>О границах этой справки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Это подробная сводка по доступным материалам, а не полная копия официального XLSX со всеми 350+ вызовами или PDF со всеми партнёрами. Сайт ФСИ не отдал эти файлы для автоматического чтения (ошибка доступа 403). Поэтому в документ включены проверенные названия и примеры, а отсутствующие формулировки не восстановлены по догадке.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Что такое «УМНИК‑2026»</w:t>
      </w:r>
    </w:p>
    <w:p>
      <w:r>
        <w:t>«УМНИК» — федеральный конкурс Фонда содействия инновациям для молодых исследователей и инноваторов. В 2026 году он был частью федерального проекта «Технологии» и ориентировался на проекты, которые дают научно-технический результат и могут стать основой коммерческого продукта или будущего технологического стартапа.</w:t>
      </w:r>
    </w:p>
    <w:p>
      <w:r>
        <w:t>Это прежде всего поддержка индивидуального заявителя для выполнения НИР и проверки перспектив коммерческого использования результата, а не безусловное финансирование текущих расходов уже работающей компании. Партнёрские технологические задачи помогают соотнести проект с практической потребностью отрасли; по объявлениям конкурса партнёры также участвовали в экспертизе.</w:t>
      </w:r>
    </w:p>
    <w:p>
      <w:pPr>
        <w:pStyle w:val="Heading1"/>
        <w:keepNext/>
      </w:pPr>
      <w:r>
        <w:t>2. Условия участия и параметры гранта</w:t>
      </w:r>
    </w:p>
    <w:p>
      <w:pPr>
        <w:pStyle w:val="ListBullet"/>
        <w:spacing w:after="60"/>
      </w:pPr>
      <w:r>
        <w:t>Заявитель — физическое лицо, гражданин Российской Федерации.</w:t>
      </w:r>
    </w:p>
    <w:p>
      <w:pPr>
        <w:pStyle w:val="ListBullet"/>
        <w:spacing w:after="60"/>
      </w:pPr>
      <w:r>
        <w:t>Возраст на дату подачи — от 18 до 35 лет включительно.</w:t>
      </w:r>
    </w:p>
    <w:p>
      <w:pPr>
        <w:pStyle w:val="ListBullet"/>
        <w:spacing w:after="60"/>
      </w:pPr>
      <w:r>
        <w:t>В материалах о конкурсе указывалось, что заявитель не должен ранее получать грантовую поддержку ФСИ и не должен быть ранее победителем программы «УМНИК». Точное юридическое применение ограничений определяется Положением именно для конкурса 2026 года.</w:t>
      </w:r>
    </w:p>
    <w:p>
      <w:pPr>
        <w:pStyle w:val="ListBullet"/>
        <w:spacing w:after="60"/>
      </w:pPr>
      <w:r>
        <w:t>От одного заявителя предусматривалась одна заявка; для участия в других заявках и проектах ФСИ могли действовать ограничения. Их формулировку следует проверять по Положению и правилам системы ФСИ.</w:t>
      </w:r>
    </w:p>
    <w:p>
      <w:pPr>
        <w:pStyle w:val="ListBullet"/>
        <w:spacing w:after="60"/>
      </w:pPr>
      <w:r>
        <w:t>Размер гранта — 500 000 рублей; плановый срок работ — до 12 месяцев.</w:t>
      </w:r>
    </w:p>
    <w:p>
      <w:pPr>
        <w:pStyle w:val="ListBullet"/>
        <w:spacing w:after="60"/>
      </w:pPr>
      <w:r>
        <w:t>Назначение средств — выполнение научно-исследовательских работ и оценка коммерческого потенциала их результата.</w:t>
      </w:r>
    </w:p>
    <w:p>
      <w:pPr>
        <w:pStyle w:val="ListBullet"/>
        <w:spacing w:after="60"/>
      </w:pPr>
      <w:r>
        <w:t>В материалах о календаре выплат описывалась схема 200 000 рублей на первом этапе и 300 000 рублей после промежуточного отчёта. Фактический график и перечень допустимых расходов закрепляются договором с ФСИ.</w:t>
      </w:r>
    </w:p>
    <w:p>
      <w:pPr>
        <w:pStyle w:val="Heading2"/>
      </w:pPr>
      <w:r>
        <w:t>Календарь конкурса 2026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59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Дата / ориентир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Окончание приёма заявок</w:t>
            </w:r>
          </w:p>
        </w:tc>
        <w:tc>
          <w:tcPr>
            <w:tcW w:type="dxa" w:w="59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27 мая 2026 года, 12:00 МСК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Формальная экспертиза</w:t>
            </w:r>
          </w:p>
        </w:tc>
        <w:tc>
          <w:tcPr>
            <w:tcW w:type="dxa" w:w="59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Планировалась до 11 июня 2026 года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Защиты проектов</w:t>
            </w:r>
          </w:p>
        </w:tc>
        <w:tc>
          <w:tcPr>
            <w:tcW w:type="dxa" w:w="59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Планировались на 15–30 июня 2026 года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Утверждение результатов и оформление договоров</w:t>
            </w:r>
          </w:p>
        </w:tc>
        <w:tc>
          <w:tcPr>
            <w:tcW w:type="dxa" w:w="59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Планировались на август–сентябрь 2026 года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Текущий статус на 13.10.2026</w:t>
            </w:r>
          </w:p>
        </w:tc>
        <w:tc>
          <w:tcPr>
            <w:tcW w:type="dxa" w:w="59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8"/>
              </w:rPr>
              <w:t>Отбор проведён; результаты объявлены</w:t>
            </w:r>
          </w:p>
        </w:tc>
      </w:tr>
    </w:tbl>
    <w:p>
      <w:pPr>
        <w:pStyle w:val="SmallNote"/>
      </w:pPr>
      <w:r>
        <w:t>Сроки после подачи заявки приведены как календарь, объявлявшийся на этапе приёма. Для конкретного победителя юридически значимы уведомления ФСИ и условия подписанного договора.</w:t>
      </w:r>
    </w:p>
    <w:p>
      <w:pPr>
        <w:pStyle w:val="Heading1"/>
        <w:keepNext/>
      </w:pPr>
      <w:r>
        <w:t>3. Шесть тематических направлений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Направление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Типичные области для ориентира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Н1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Цифровые технологии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Алгоритмы и программные комплексы, анализ данных, искусственный интеллект, системы мониторинга и управления.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Н2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Медицина и технологии здоровьесбережения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Диагностика, медицинские приборы, реабилитация, профилактика и технологические решения для здравоохранения.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Н3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Новые материалы и химические технологии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Материалы с заданными свойствами, композиции, покрытия, химические процессы и способы переработки сырья.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Н4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Новые приборы и интеллектуальные производственные технологии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Измерительные устройства, сенсоры, автоматизация, роботизация, аддитивное производство и контроль качества.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Н5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Биотехнологии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Биологические процессы и продукты, прикладная микробиология, агро- и ветеринарные разработки.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Н6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Ресурсосберегающая энергетика</w:t>
            </w:r>
          </w:p>
        </w:tc>
        <w:tc>
          <w:tcPr>
            <w:tcW w:type="dxa" w:w="59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Энергоэффективность, сокращение потерь ресурсов, мониторинг и управление энергетическими системами.</w:t>
            </w:r>
          </w:p>
        </w:tc>
      </w:tr>
    </w:tbl>
    <w:p>
      <w:pPr>
        <w:pStyle w:val="SmallNote"/>
      </w:pPr>
      <w:r>
        <w:t>Пояснение: примеры в третьей колонке иллюстрируют широкий смысл направления и не являются отдельными официальными критериями конкурса.</w:t>
      </w:r>
    </w:p>
    <w:p>
      <w:pPr>
        <w:pStyle w:val="Heading1"/>
        <w:keepNext/>
      </w:pPr>
      <w:r>
        <w:t>4. Приоритетные технологические темы</w:t>
      </w:r>
    </w:p>
    <w:p>
      <w:r>
        <w:t>Приоритеты дополняли шесть тематических направлений. Они не заменяли их и не образовывали семь новых направлений; проект мог одновременно относиться к одному из Н1–Н6 и быть связанным с несколькими приоритетами.</w:t>
      </w:r>
    </w:p>
    <w:p>
      <w:pPr>
        <w:pStyle w:val="ListBullet"/>
        <w:spacing w:after="60"/>
      </w:pPr>
      <w:r>
        <w:t>Новые материалы и химия.</w:t>
      </w:r>
    </w:p>
    <w:p>
      <w:pPr>
        <w:pStyle w:val="ListBullet"/>
        <w:spacing w:after="60"/>
      </w:pPr>
      <w:r>
        <w:t>Средства производства и автоматизация.</w:t>
      </w:r>
    </w:p>
    <w:p>
      <w:pPr>
        <w:pStyle w:val="ListBullet"/>
        <w:spacing w:after="60"/>
      </w:pPr>
      <w:r>
        <w:t>Новые атомные и энергетические технологии.</w:t>
      </w:r>
    </w:p>
    <w:p>
      <w:pPr>
        <w:pStyle w:val="ListBullet"/>
        <w:spacing w:after="60"/>
      </w:pPr>
      <w:r>
        <w:t>Промышленное обеспечение транспортной мобильности.</w:t>
      </w:r>
    </w:p>
    <w:p>
      <w:pPr>
        <w:pStyle w:val="ListBullet"/>
        <w:spacing w:after="60"/>
      </w:pPr>
      <w:r>
        <w:t>Беспилотные авиационные системы (БАС).</w:t>
      </w:r>
    </w:p>
    <w:p>
      <w:pPr>
        <w:pStyle w:val="ListBullet"/>
        <w:spacing w:after="60"/>
      </w:pPr>
      <w:r>
        <w:t>Технологическое обеспечение продовольственной безопасности.</w:t>
      </w:r>
    </w:p>
    <w:p>
      <w:pPr>
        <w:pStyle w:val="ListBullet"/>
        <w:spacing w:after="60"/>
      </w:pPr>
      <w:r>
        <w:t>Новые технологии сбережения здоровья.</w:t>
      </w:r>
    </w:p>
    <w:p>
      <w:pPr>
        <w:pStyle w:val="ListBullet"/>
        <w:spacing w:after="60"/>
      </w:pPr>
      <w:r>
        <w:t>Технологическое обеспечение биоэкономики.</w:t>
      </w:r>
    </w:p>
    <w:p>
      <w:pPr>
        <w:pStyle w:val="ListBullet"/>
        <w:spacing w:after="60"/>
      </w:pPr>
      <w:r>
        <w:t>Научное приборостроение и расходные материалы.</w:t>
      </w:r>
    </w:p>
    <w:p>
      <w:pPr>
        <w:pStyle w:val="Heading1"/>
        <w:keepNext/>
      </w:pPr>
      <w:r>
        <w:t>5. Индустриальные партнёры</w:t>
      </w:r>
    </w:p>
    <w:p>
      <w:r>
        <w:t>Особенность отбора 2026 года — большой каталог задач от индустриальных партнёров. Смысл такой модели: молодому исследователю проще показать, какую конкретную производственную или отраслевую проблему решает его разработка. В материалах ФСИ указывалось, что партнёры участвуют в экспертизе; партнёрская задача могла служить отправной точкой для идеи проекта.</w:t>
      </w:r>
    </w:p>
    <w:p>
      <w:r>
        <w:t>Счёт организаций в разных публикациях немного различается: чаще называют 24, иногда встречается 23. Число задач тоже приводится неодинаково: «более 350», 355 или 356. Для краткой сводки корректно использовать формулировки «около 24 партнёров» и «350+ задач».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Организация / группа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подтверждено в материалах о конкурсе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Примечание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«Наука и инновации»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Названа среди индустриальных партнёров конкурса; связана с задачами научного развития атомной отрасли.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Не следует подменять названием всего списка партнёров.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«Росатом»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В официальных материалах ФСИ упоминались 45 подготовленных задач по атомной и энергетической тематике.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Число задач приводится как отдельная деталь; полный набор тем здесь не воспроизводится.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ПАО «Газпром нефть»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Подтверждённый партнёр конкурса.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Возможный отраслевой контекст — нефтегазовые технологии; это не описание конкретного вызова.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ПАО «Татнефть»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Подтверждённый партнёр конкурса.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Полные формулировки задач находятся в официальном каталоге.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«Геоскан»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Упоминается среди партнёров.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Компания работает в направлениях беспилотных и инженерных решений; это не заменяет список её вызовов.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«Роббо»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Упоминается среди партнёров.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Полный перечень технологических задач партнёра не извлечён.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«Моторика»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Упоминается в материалах ФСИ как индустриальный партнёр и пример компании, выросшей из грантовой экосистемы.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Точное содержание вызовов не подтверждено в доступных фрагментах.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«Технодизель»</w:t>
            </w:r>
          </w:p>
        </w:tc>
        <w:tc>
          <w:tcPr>
            <w:tcW w:type="dxa" w:w="4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Упоминается среди партнёрских компаний в материалах ФСИ.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Точное содержание вызовов не подтверждено в доступных фрагментах.</w:t>
            </w:r>
          </w:p>
        </w:tc>
      </w:tr>
    </w:tbl>
    <w:p>
      <w:pPr>
        <w:pStyle w:val="SmallNote"/>
      </w:pPr>
      <w:r>
        <w:t>Это подтверждённые примеры, не полный список. Полный официальный перечень организаций размещался отдельным PDF с названием «Перечень партнёров».</w:t>
      </w:r>
    </w:p>
    <w:p>
      <w:pPr>
        <w:pStyle w:val="Heading1"/>
        <w:keepNext/>
      </w:pPr>
      <w:r>
        <w:t>6. Технологические вызовы: что известно</w:t>
      </w:r>
    </w:p>
    <w:p>
      <w:pPr>
        <w:pStyle w:val="ListBullet"/>
        <w:spacing w:after="60"/>
      </w:pPr>
      <w:r>
        <w:t>Всего в материалах конкурса фигурирует более 350 задач, разложенных по шести основным направлениям.</w:t>
      </w:r>
    </w:p>
    <w:p>
      <w:pPr>
        <w:pStyle w:val="ListBullet"/>
        <w:spacing w:after="60"/>
      </w:pPr>
      <w:r>
        <w:t>Публикации приводят 355 или 356 как более точный счёт; расхождение может быть связано с обновлением или способом подсчёта, поэтому без исходной таблицы не следует закреплять одну цифру как единственно верную.</w:t>
      </w:r>
    </w:p>
    <w:p>
      <w:pPr>
        <w:pStyle w:val="ListBullet"/>
        <w:spacing w:after="60"/>
      </w:pPr>
      <w:r>
        <w:t>Для задач был подготовлен отдельный файл Excel «Технологические вызовы и задачи». В этой справке сохранено описание общего формата, но не дословные строки таблицы.</w:t>
      </w:r>
    </w:p>
    <w:p>
      <w:pPr>
        <w:pStyle w:val="ListBullet"/>
        <w:spacing w:after="60"/>
      </w:pPr>
      <w:r>
        <w:t>Не следует выдавать примеры проектов-победителей из следующего раздела за официальные вызовы партнёров: это разные списки.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6324F"/>
                <w:sz w:val="22"/>
              </w:rPr>
              <w:t>Что нужно для полного буквального перечня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Чтобы поместить в этот же документ все названия партнёров и каждую формулировку 350+ задач, нужен исходный PDF «Перечень партнёров» и XLSX «Технологические вызовы и задачи». Доступ к ним при подготовке этой версии блокировался. Если прикрепить сами файлы сюда, их можно будет включить в обновлённую версию документа без внешних ссылок.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Примеры реальных проектов-победителей 2026 года</w:t>
      </w:r>
    </w:p>
    <w:p>
      <w:r>
        <w:t>Эти примеры помогают понять уровень и прикладной характер идей, которые проходили отбор. Это не рейтинг и не исчерпывающий перечень; названия ниже пересказаны по публикациям вузов и региональных площадок.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Пример проекта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Ключевая идея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Цифровые технологии / БАС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Модуль для высокоскоростной фильтрации и анализа спектральных данных газовых и тепловых аномалий на бортовых вычислителях БПЛА.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Обрабатывать данные на борту аппарата и быстрее находить аномалии.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Производственные технологии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Установка для металлической 3D-печати проволокой.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Печатать крупные металлические детали с меньшей стоимостью сырья и высокой скоростью.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Энергетика и приборы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Устройство цифровой дифференциальной защиты, устойчивое к режимам насыщения трансформаторов тока.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Повысить надёжность защиты электрической сети в сложных режимах.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Нефтегазовые технологии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Управляемый ускоритель схватывания тампонажного раствора для крепления скважин.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Настраивать скорость схватывания материала при строительстве скважины.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Агробиотехнологии / цифровые технологии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Система 3D-фенотипирования растений на основе компьютерного зрения.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Автоматически измерять характеристики растений по цифровой модели.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Инфраструктура и цифровые технологии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PipeSense — автономная интеллектуальная система раннего обнаружения дефектов трубопроводов.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Находить дефекты раньше и помогать планировать обслуживание.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Медицина и диагностика — Краснодар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Латерально-проточная система для диагностики активности ADAMTS13, проект Сурена Раганяна из КубГМУ.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Экспресс-тест для дифференциальной диагностики тромботической тромбоцитопенической пурпуры; заявлялась работа у постели пациента без специализированного оборудования.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Реабилитация</w:t>
            </w:r>
          </w:p>
        </w:tc>
        <w:tc>
          <w:tcPr>
            <w:tcW w:type="dxa" w:w="50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Тренажёр для пациентов с нарушениями вестибулярной и моторной функций.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6"/>
              </w:rPr>
              <w:t>Разрабатывать устройство для восстановления функций и оценки прогресса реабилитации.</w:t>
            </w:r>
          </w:p>
        </w:tc>
      </w:tr>
    </w:tbl>
    <w:p>
      <w:pPr>
        <w:pStyle w:val="Heading1"/>
        <w:keepNext/>
      </w:pPr>
      <w:r>
        <w:t>8. Идеи и направления для будущего конкурса</w:t>
      </w:r>
    </w:p>
    <w:p>
      <w:r>
        <w:t>Ниже — варианты проектных заготовок, которые логично соотносятся с направлениями конкурса и экономикой Краснодарского края. Это самостоятельные идеи для обсуждения, а не официальный перечень вызовов 2026 года и не обещание соответствия будущему положению.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Тематическая связка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6324F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Черновая идея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Агро и БАС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Система компьютерного зрения и спектрального анализа для раннего обнаружения водного стресса, болезней или повреждений посевов по данным дрона.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Агро и биотехнологии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Платформа фенотипирования растений для ускоренного сравнения сортов, устойчивости и реакции на засуху или засоление.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АПК и биоэкономика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Получение материала, сорбента или биопродукта из побочных потоков переработки сельхозсырья; нужны проверяемые характеристики и конкретный покупатель.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Вода и экология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Недорогой сенсорный узел для мониторинга качества воды и раннего обнаружения загрязнений в водоёмах или системах орошения.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Медицина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Экспресс-диагностика у постели пациента, переносной измерительный прибор или устройство для реабилитации с подтверждаемым клиническим сценарием.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Нефтегаз и материалы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7F9FB"/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Новые добавки или материалы для защиты оборудования от коррозии, мониторинга состояния труб или управления свойствами тампонажных растворов.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Энергетика и производство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 w:eastAsia="Arial"/>
                <w:sz w:val="17"/>
              </w:rPr>
              <w:t>Прибор или программно-аппаратная система, сокращающая потери энергии, простои или расход материалов на конкретной производственной операции.</w:t>
            </w:r>
          </w:p>
        </w:tc>
      </w:tr>
    </w:tbl>
    <w:p>
      <w:pPr>
        <w:pStyle w:val="Heading2"/>
      </w:pPr>
      <w:r>
        <w:t>Как превратить тему в сильную заявку — рабочий чек-лист</w:t>
      </w:r>
    </w:p>
    <w:p>
      <w:pPr>
        <w:pStyle w:val="ListBullet"/>
        <w:spacing w:after="60"/>
      </w:pPr>
      <w:r>
        <w:t>Назвать конкретного пользователя или заказчика, а не только широкую отрасль.</w:t>
      </w:r>
    </w:p>
    <w:p>
      <w:pPr>
        <w:pStyle w:val="ListBullet"/>
        <w:spacing w:after="60"/>
      </w:pPr>
      <w:r>
        <w:t>Сформулировать проверяемую научно-техническую гипотезу и показать, чем решение отличается от аналогов.</w:t>
      </w:r>
    </w:p>
    <w:p>
      <w:pPr>
        <w:pStyle w:val="ListBullet"/>
        <w:spacing w:after="60"/>
      </w:pPr>
      <w:r>
        <w:t>Определить измеримый результат за 12 месяцев: прототип, методика, набор данных, испытание, опытный образец или подтверждённые параметры.</w:t>
      </w:r>
    </w:p>
    <w:p>
      <w:pPr>
        <w:pStyle w:val="ListBullet"/>
        <w:spacing w:after="60"/>
      </w:pPr>
      <w:r>
        <w:t>Показать план НИР по этапам, риски и способ проверки каждого результата.</w:t>
      </w:r>
    </w:p>
    <w:p>
      <w:pPr>
        <w:pStyle w:val="ListBullet"/>
        <w:spacing w:after="60"/>
      </w:pPr>
      <w:r>
        <w:t>Объяснить путь к коммерциализации: кто будет внедрять, что заменяется или улучшается, как будет оцениваться спрос.</w:t>
      </w:r>
    </w:p>
    <w:p>
      <w:pPr>
        <w:pStyle w:val="ListBullet"/>
        <w:spacing w:after="60"/>
      </w:pPr>
      <w:r>
        <w:t>Если есть близкий технологический вызов партнёра, связать заявку с ним точной формулировкой, но не подменять исследовательский план общим описанием проблемы.</w:t>
      </w:r>
    </w:p>
    <w:p>
      <w:pPr>
        <w:pStyle w:val="SmallNote"/>
      </w:pPr>
      <w:r>
        <w:t>Этот чек-лист — практическая рекомендация для подготовки проекта, а не цитата из официальной конкурсной методики.</w:t>
      </w:r>
    </w:p>
    <w:p>
      <w:pPr>
        <w:pStyle w:val="Heading1"/>
        <w:keepNext/>
      </w:pPr>
      <w:r>
        <w:t>9. Итоги конкурса и результаты для Краснодарского края</w:t>
      </w:r>
    </w:p>
    <w:p>
      <w:r>
        <w:t>По опубликованным итогам по всей стране поддержано 500 проектов грантами по 500 000 рублей. Один из региональных отчётов приводит 3 378 заявок, поданных из 79 регионов. В отдельных публикациях количество заявок округляется примерно до 3 400; число победителей — 500 — является устойчивым итоговым показателем.</w:t>
      </w:r>
    </w:p>
    <w:p>
      <w:r>
        <w:t>Краснодарский край получил 20 грантов и вошёл в первую десятку регионов по количеству победителей. Региональная таблица помещает Краснодарский край на шестую строку; Московская область указана следующей с тем же числом победителей — 20.</w:t>
      </w:r>
    </w:p>
    <w:p>
      <w:r>
        <w:t>Из публично описанных кубанских примеров известен проект студента КубГМУ Сурена Раганяна — экспресс-система для диагностики активности ADAMTS13. Это один подтверждённый пример, а не полный список 20 проектов.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3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17C83"/>
                <w:sz w:val="22"/>
              </w:rPr>
              <w:t>Не путать со старыми результатами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В региональном архиве программы «УМНИК» на страницах Краснодарской площадки отображаются списки проектов прошлых лет. Их нельзя считать итогами 2026 года. Для полного федерального перечня победителей предназначался отдельный итоговый PDF; из региональной сводки следует число 20 победителей в Краснодарском крае.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Полезные контакты в Краснодарском крае</w:t>
      </w:r>
    </w:p>
    <w:p>
      <w:r>
        <w:t>Региональный представитель ФСИ: УНО «Фонд развития инноваций Краснодарского края». По опубликованным контактным данным фонда:</w:t>
      </w:r>
    </w:p>
    <w:p>
      <w:pPr>
        <w:pStyle w:val="ListBullet"/>
        <w:spacing w:after="60"/>
      </w:pPr>
      <w:r>
        <w:t>Адрес: Краснодар, улица Северная, 405.</w:t>
      </w:r>
    </w:p>
    <w:p>
      <w:pPr>
        <w:pStyle w:val="ListBullet"/>
        <w:spacing w:after="60"/>
      </w:pPr>
      <w:r>
        <w:t>Телефон: +7 (861) 991‑25‑50.</w:t>
      </w:r>
    </w:p>
    <w:p>
      <w:pPr>
        <w:pStyle w:val="ListBullet"/>
        <w:spacing w:after="60"/>
      </w:pPr>
      <w:r>
        <w:t>Электронная почта: info@innofund23.ru.</w:t>
      </w:r>
    </w:p>
    <w:p>
      <w:r>
        <w:t>Региональный предакселератор для проектов «УМНИК» публикует контакты: +7 (861) 991‑25‑50, umnik@icluster23.ru. На его площадке описаны отдельные платные пакеты услуг; стоимость и необходимость участия следует уточнять напрямую. Не считайте платный пакет автоматическим или обязательным условием получения гранта.</w:t>
      </w:r>
    </w:p>
    <w:p>
      <w:pPr>
        <w:pStyle w:val="Heading1"/>
        <w:keepNext/>
      </w:pPr>
      <w:r>
        <w:t>11. Официальный комплект документов 2026 года</w:t>
      </w:r>
    </w:p>
    <w:p>
      <w:r>
        <w:t>Ниже приведены названия материалов, чтобы справочник оставался без ссылок. Это документы, которые следует считать первичными при проверке условий и формулировок:</w:t>
      </w:r>
    </w:p>
    <w:p>
      <w:pPr>
        <w:pStyle w:val="ListBullet"/>
        <w:spacing w:after="60"/>
      </w:pPr>
      <w:r>
        <w:t>Официальное объявление ФСИ о конкурсе «УМНИК‑2026».</w:t>
      </w:r>
    </w:p>
    <w:p>
      <w:pPr>
        <w:pStyle w:val="ListBullet"/>
        <w:spacing w:after="60"/>
      </w:pPr>
      <w:r>
        <w:t>«Положение о конкурсе «УМНИК‑2026»» — основной документ с юридически значимыми условиями.</w:t>
      </w:r>
    </w:p>
    <w:p>
      <w:pPr>
        <w:pStyle w:val="ListBullet"/>
        <w:spacing w:after="60"/>
      </w:pPr>
      <w:r>
        <w:t>Презентация конкурса «УМНИК‑2026».</w:t>
      </w:r>
    </w:p>
    <w:p>
      <w:pPr>
        <w:pStyle w:val="ListBullet"/>
        <w:spacing w:after="60"/>
      </w:pPr>
      <w:r>
        <w:t>PDF «Перечень партнёров».</w:t>
      </w:r>
    </w:p>
    <w:p>
      <w:pPr>
        <w:pStyle w:val="ListBullet"/>
        <w:spacing w:after="60"/>
      </w:pPr>
      <w:r>
        <w:t>Таблица Excel «Технологические вызовы и задачи».</w:t>
      </w:r>
    </w:p>
    <w:p>
      <w:pPr>
        <w:pStyle w:val="ListBullet"/>
        <w:spacing w:after="60"/>
      </w:pPr>
      <w:r>
        <w:t>Итоговый PDF со списком победителей «UMNIK2026_FIN.pdf».</w:t>
      </w:r>
    </w:p>
    <w:p>
      <w:pPr>
        <w:pStyle w:val="ListBullet"/>
        <w:spacing w:after="60"/>
      </w:pPr>
      <w:r>
        <w:t>Материалы вебинара ФСИ по конкурсу и видеозапись вебинара.</w:t>
      </w:r>
    </w:p>
    <w:p>
      <w:pPr>
        <w:pStyle w:val="ListBullet"/>
        <w:spacing w:after="60"/>
      </w:pPr>
      <w:r>
        <w:t>Система ФСИ «Фонд‑М» — для заявок, договоров и отчётности.</w:t>
      </w:r>
    </w:p>
    <w:p>
      <w:pPr>
        <w:pStyle w:val="SmallNote"/>
      </w:pPr>
      <w:r>
        <w:t>Внутри этого справочника нет кликабельных адресов и внешних гиперссылок. Названия файлов сохранены, чтобы их можно было сопоставить с оригиналами, если они будут предоставлены отдельно.</w:t>
      </w:r>
    </w:p>
    <w:p>
      <w:pPr>
        <w:pStyle w:val="Heading1"/>
        <w:keepNext/>
      </w:pPr>
      <w:r>
        <w:t>12. Источники, точность и ограничения</w:t>
      </w:r>
    </w:p>
    <w:p>
      <w:r>
        <w:t>Справка составлена по официальным материалам Фонда содействия инновациям и его каналу, региональным публикациям о запуске конкурса и итогах, а также новостям вузов, сообщивших о победителях. Сведения о гранте, возрасте, сроке и дедлайне сверялись с публикациями 2026 года и названием Положения конкурса.</w:t>
      </w:r>
    </w:p>
    <w:p>
      <w:r>
        <w:t>При подготовке этой версии автоматический доступ к ряду файлов ФСИ — PDF перечня партнёров, Excel с вызовами и PDF итогового списка — был ограничен ответом 403. Поэтому документ намеренно не содержит выдуманного полного перечня партнёров или задач и не воспроизводит имена всех победителей Краснодара по неполным вторичным публикациям.</w:t>
      </w:r>
    </w:p>
    <w:p>
      <w:r>
        <w:t>Для окончательной юридической проверки условий важнее всего оригинальное Положение и договор конкретного грантополучателя. Для полного каталога задач и полного списка организаций нужны соответствующие исходные PDF и XLSX. Если приложить их в чат, можно подготовить обновлённую редакцию того же DOCX и включить в неё текстовые таблицы полностью.</w:t>
      </w:r>
    </w:p>
    <w:p>
      <w:pPr>
        <w:pStyle w:val="Heading2"/>
      </w:pPr>
      <w:r>
        <w:t>Какие публикации использованы для фактической сводки</w:t>
      </w:r>
    </w:p>
    <w:p>
      <w:pPr>
        <w:pStyle w:val="ListBullet"/>
        <w:spacing w:after="60"/>
      </w:pPr>
      <w:r>
        <w:t>Фонд содействия инновациям: объявление о конкурсе, положение, презентация, публикации официального канала и материалы вебинара.</w:t>
      </w:r>
    </w:p>
    <w:p>
      <w:pPr>
        <w:pStyle w:val="ListBullet"/>
        <w:spacing w:after="60"/>
      </w:pPr>
      <w:r>
        <w:t>Региональные сообщения о приёме заявок и партнёрах конкурса, включая публикации региональных инновационных площадок.</w:t>
      </w:r>
    </w:p>
    <w:p>
      <w:pPr>
        <w:pStyle w:val="ListBullet"/>
        <w:spacing w:after="60"/>
      </w:pPr>
      <w:r>
        <w:t>Сводка результатов Новосибирского областного инновационного фонда с таблицей числа победителей по регионам.</w:t>
      </w:r>
    </w:p>
    <w:p>
      <w:pPr>
        <w:pStyle w:val="ListBullet"/>
        <w:spacing w:after="60"/>
      </w:pPr>
      <w:r>
        <w:t>Материалы НИА Самара о масштабе конкурса и итоговом числе заявок и победителей.</w:t>
      </w:r>
    </w:p>
    <w:p>
      <w:pPr>
        <w:pStyle w:val="ListBullet"/>
        <w:spacing w:after="60"/>
      </w:pPr>
      <w:r>
        <w:t>Публикации Иркутского национального исследовательского технического университета и Новгородского государственного университета с описаниями победивших проектов.</w:t>
      </w:r>
    </w:p>
    <w:p>
      <w:pPr>
        <w:pStyle w:val="ListBullet"/>
        <w:spacing w:after="60"/>
      </w:pPr>
      <w:r>
        <w:t>Новость Кубанского государственного медицинского университета о проекте Сурена Раганяна.</w:t>
      </w:r>
    </w:p>
    <w:p>
      <w:pPr>
        <w:pStyle w:val="ListBullet"/>
        <w:spacing w:after="60"/>
      </w:pPr>
      <w:r>
        <w:t>Страница ФСИ по Краснодарскому краю и сайт краснодарского предакселератора — для региональных контактов.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86474"/>
        <w:sz w:val="16"/>
      </w:rPr>
      <w:t xml:space="preserve">Справка по конкурсу «УМНИК‑2026»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17C83"/>
        <w:sz w:val="16"/>
      </w:rPr>
      <w:t>СПРАВОЧНИК  •  «УМНИК‑2026»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27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7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 w:eastAsia="Arial"/>
      <w:i/>
      <w:color w:val="58647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по конкурсу УМНИК-2026</dc:title>
  <dc:subject>Условия, направления, партнёры, технологические вызовы и результаты Краснодарского края</dc:subject>
  <dc:creator>Справочный документ</dc:creator>
  <cp:keywords>УМНИК, ФСИ, 2026, Краснодарский край, грант, инновации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