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355ACC98"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0427E4">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C63CA3F"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0E1DBE">
        <w:rPr>
          <w:rFonts w:ascii="Montserrat SemiBold" w:hAnsi="Montserrat SemiBold"/>
          <w:color w:val="3E3E3D"/>
          <w:sz w:val="40"/>
          <w:szCs w:val="40"/>
        </w:rPr>
        <w:t>7</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EFA4836"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Relational Database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12B1248C"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Database table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30D3DC1D"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Database row : Datubāzes ieraksts. Tā ir lauku kolekcija vai kopa, kas apraksta kādu informācijas vienību. Datubāzes ieraksts pēc būtības ir noteiktas struktūras informācijas komplekts datubāzes tabulā.</w:t>
      </w:r>
    </w:p>
    <w:p w14:paraId="4AB0026D"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Temporary table : Pagaidu tabula. Tā ir tabula, kura eksistē tikai uz klienta sesijas laiku. Tā ir redzama tikai tam klientam, kurš to izveidojis, līdz ar to tā nekādā veidā neietekmē citus datubāzes lietotājus. To var izmantot lai aizvietotu oriģinālo tabulu, izveidojot tās pilnīgi precīzu kopiju ar tādiem pašiem datiem.</w:t>
      </w:r>
    </w:p>
    <w:p w14:paraId="5D59EAC9"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Database row : Datubāzes ieraksts. Tā ir lauku kolekcija vai kopa, kas apraksta kādu informācijas vienību. Datubāzes ieraksts pēc būtības ir noteiktas struktūras informācijas komplekts datubāzes tabulā.</w:t>
      </w:r>
    </w:p>
    <w:p w14:paraId="5D90FD08"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SQL : Structured Query Language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60F717C7"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 xml:space="preserve">DDL : Data Definition Language / Datu Definēšanas Valoda. Tā ir SQL valodas daļa, kura nodrošina datu struktūru definēšanu. Izmantojot šīs valodas komandas ir iespējams veidot, mainīt un dzēst </w:t>
      </w:r>
      <w:r w:rsidRPr="0064091B">
        <w:rPr>
          <w:rFonts w:ascii="Segoe UI" w:eastAsia="Times New Roman" w:hAnsi="Segoe UI" w:cs="Segoe UI"/>
          <w:color w:val="24292F"/>
          <w:sz w:val="24"/>
          <w:szCs w:val="24"/>
          <w:lang w:eastAsia="lv-LV"/>
        </w:rPr>
        <w:lastRenderedPageBreak/>
        <w:t>datubāzes objektus. DDL galvenie atslēgvārdi ir : CREATE (TABLE / INDEX / CONSTRAINT / VIEW ...), ALTER TABLE, DROP (TABLE / INDEX / VIEW ...).</w:t>
      </w:r>
    </w:p>
    <w:p w14:paraId="02580603"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DML : Data Manipulation Language / Datu Manipulēšanas Valoda. Tā ir SQL valodas daļa, kura nodrošina darbības ar datiem. Izmantojot šīs valodas komandas ir iespējams atlasīt, pievienot, mainīt un dzēst datus datubāzē. DML galvenie atslēgvārdi ir : INSERT, UPDATE, DELETE, SELECT, COMMIT, ROLLBACK.</w:t>
      </w:r>
    </w:p>
    <w:p w14:paraId="05EB56F8"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Commit command : Izmaiņu apstiprināšanas komanda. Relāciju datubāzē DML operācijas tiek apvienotas transakcijās. Apstiprinot izmaiņas, transakcija tiek pabeigta, un datu izmaiņas kuras ir iekļautas tajā tiek pastāvīgi saglabātas, kas savukārt nozīmē ka tās kļūst pieejamas visiem datubāzes lietotājiem.</w:t>
      </w:r>
    </w:p>
    <w:p w14:paraId="30740C36"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Rollback command : Izmaiņu atcelšanas komanda. Sasniedz pretējo rezultātu nekā commit komanda. Visas nesaglabātas izmaiņas tiek atceltas un pazūd, kļūstot nepieejamas visiem datubāzes lietotājiem.</w:t>
      </w:r>
    </w:p>
    <w:p w14:paraId="6F055337" w14:textId="77777777"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Key : Atslēga. Relāciju datubāzēs atslēga ir atribūtu (lauku, kolonnu) kopa, kas unikāli identificē konkrētu tabulas ierakstu. Divi galvenie atslēgu veidi ir primārā (primary) un norādes (foreign) atslēga. Primārā atslēga ir atslēga pašā tabulā, kura kalpo ieraksta unikalitātes nodrošināšanai. Norādes (foreign) atslēga ir primārās atslēgas kopija citā tabulā; tā norāda uz konkrētu ierakstu saistītajā tabulā. Norādes atslēgas var būt unikālas vai neunikālas; pirmajā gadījumā tiek veidota viens pret vienu relācija, otrajā viens pret daudziem.</w:t>
      </w:r>
    </w:p>
    <w:p w14:paraId="3A564D3E" w14:textId="785CCB0A" w:rsidR="0064091B" w:rsidRPr="0064091B" w:rsidRDefault="0064091B" w:rsidP="0064091B">
      <w:pPr>
        <w:shd w:val="clear" w:color="auto" w:fill="FFFFFF"/>
        <w:spacing w:after="240"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 xml:space="preserve">Table column(s) constraint : Tabulas lauka(-u) ierobežojums. Tas ir datu bāzē definēts noteikums, kas apraksta un nodrošina pieļaujamu saglabāšanai datu ierobežošanas nosacījumus konkrētajā laukā vai lauku kombinācijā. Pastāv šādi </w:t>
      </w:r>
      <w:r w:rsidR="00DE7821" w:rsidRPr="0064091B">
        <w:rPr>
          <w:rFonts w:ascii="Segoe UI" w:eastAsia="Times New Roman" w:hAnsi="Segoe UI" w:cs="Segoe UI"/>
          <w:color w:val="24292F"/>
          <w:sz w:val="24"/>
          <w:szCs w:val="24"/>
          <w:lang w:eastAsia="lv-LV"/>
        </w:rPr>
        <w:t>galvenie</w:t>
      </w:r>
      <w:r w:rsidRPr="0064091B">
        <w:rPr>
          <w:rFonts w:ascii="Segoe UI" w:eastAsia="Times New Roman" w:hAnsi="Segoe UI" w:cs="Segoe UI"/>
          <w:color w:val="24292F"/>
          <w:sz w:val="24"/>
          <w:szCs w:val="24"/>
          <w:lang w:eastAsia="lv-LV"/>
        </w:rPr>
        <w:t xml:space="preserve"> izplatītākie ierobežojumu tipi:</w:t>
      </w:r>
    </w:p>
    <w:p w14:paraId="1BDE271B" w14:textId="77777777" w:rsidR="0064091B" w:rsidRPr="0064091B" w:rsidRDefault="0064091B" w:rsidP="0064091B">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primārās atslēgas ierobežojums (primary key constraint)</w:t>
      </w:r>
    </w:p>
    <w:p w14:paraId="348EF9A5"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norādes atslēgas ierobežojums (foreign key constraint)</w:t>
      </w:r>
    </w:p>
    <w:p w14:paraId="6C0C09AD"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unikalitātes ierobežojums (unique value constraint)</w:t>
      </w:r>
    </w:p>
    <w:p w14:paraId="24DC30C7"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vērtību saraksta ierobežojums (value check constraint)</w:t>
      </w:r>
    </w:p>
    <w:p w14:paraId="2E4810BF" w14:textId="77777777" w:rsidR="0064091B" w:rsidRPr="0064091B" w:rsidRDefault="0064091B" w:rsidP="0064091B">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64091B">
        <w:rPr>
          <w:rFonts w:ascii="Segoe UI" w:eastAsia="Times New Roman" w:hAnsi="Segoe UI" w:cs="Segoe UI"/>
          <w:color w:val="24292F"/>
          <w:sz w:val="24"/>
          <w:szCs w:val="24"/>
          <w:lang w:eastAsia="lv-LV"/>
        </w:rPr>
        <w:t>vērtības obligātuma ierobežojums (not null value constraint)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Global information tracker » (globāls informācijas atsekotājs)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Goddamn idiotic truckload of sh*t » : pieļauju ka nav vajadzīgs tulkojums, bet ja nu tomēr -- Google translate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Repository : Repositorijs, repo. Glabāšanas vieta, paredzēta dažāda satura failu uzglabāšanas, versionēšanas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stage : GIT komanda, kas sagatavo vienu vai vairākus failus saglabāšanai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Faili, kuriem ir izpildīta stage komanda, tiek indeksēti un atzīmēti GIT sistēmā (GIT terminoloģijā tie tiek pārvietoti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apgabalā), lai tā var zināt ka šie faili ir jāiekļauj nākamajā saglabāšana, jeb komītā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commit : GIT komanda, kas pārvieto sagatavotus saglabāšanai failus no </w:t>
      </w:r>
      <w:r w:rsidRPr="00506621">
        <w:rPr>
          <w:rFonts w:ascii="Segoe UI" w:eastAsia="Times New Roman" w:hAnsi="Segoe UI" w:cs="Segoe UI"/>
          <w:i/>
          <w:iCs/>
          <w:color w:val="24292F"/>
          <w:sz w:val="24"/>
          <w:szCs w:val="24"/>
          <w:lang w:eastAsia="lv-LV"/>
        </w:rPr>
        <w:t>staging</w:t>
      </w:r>
      <w:r w:rsidRPr="00506621">
        <w:rPr>
          <w:rFonts w:ascii="Segoe UI" w:eastAsia="Times New Roman" w:hAnsi="Segoe UI" w:cs="Segoe UI"/>
          <w:color w:val="24292F"/>
          <w:sz w:val="24"/>
          <w:szCs w:val="24"/>
          <w:lang w:eastAsia="lv-LV"/>
        </w:rPr>
        <w:t> apgabala uz saglabāšanas (</w:t>
      </w:r>
      <w:r w:rsidRPr="00506621">
        <w:rPr>
          <w:rFonts w:ascii="Segoe UI" w:eastAsia="Times New Roman" w:hAnsi="Segoe UI" w:cs="Segoe UI"/>
          <w:i/>
          <w:iCs/>
          <w:color w:val="24292F"/>
          <w:sz w:val="24"/>
          <w:szCs w:val="24"/>
          <w:lang w:eastAsia="lv-LV"/>
        </w:rPr>
        <w:t>commit</w:t>
      </w:r>
      <w:r w:rsidRPr="00506621">
        <w:rPr>
          <w:rFonts w:ascii="Segoe UI" w:eastAsia="Times New Roman" w:hAnsi="Segoe UI" w:cs="Segoe UI"/>
          <w:color w:val="24292F"/>
          <w:sz w:val="24"/>
          <w:szCs w:val="24"/>
          <w:lang w:eastAsia="lv-LV"/>
        </w:rPr>
        <w:t>) apgabalu. GIT commit komanda izveido izmaiņu GIT lokalā repozitorijā momentuzņēmumu; vēlāk tās izmaiņas var aizsūtīt (</w:t>
      </w:r>
      <w:r w:rsidRPr="00506621">
        <w:rPr>
          <w:rFonts w:ascii="Segoe UI" w:eastAsia="Times New Roman" w:hAnsi="Segoe UI" w:cs="Segoe UI"/>
          <w:i/>
          <w:iCs/>
          <w:color w:val="24292F"/>
          <w:sz w:val="24"/>
          <w:szCs w:val="24"/>
          <w:lang w:eastAsia="lv-LV"/>
        </w:rPr>
        <w:t>push</w:t>
      </w:r>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push : GIT komanda, kas aizsūta pēdējās saglabātas izmaiņas (</w:t>
      </w:r>
      <w:r w:rsidRPr="00506621">
        <w:rPr>
          <w:rFonts w:ascii="Segoe UI" w:eastAsia="Times New Roman" w:hAnsi="Segoe UI" w:cs="Segoe UI"/>
          <w:i/>
          <w:iCs/>
          <w:color w:val="24292F"/>
          <w:sz w:val="24"/>
          <w:szCs w:val="24"/>
          <w:lang w:eastAsia="lv-LV"/>
        </w:rPr>
        <w:t>committed changes</w:t>
      </w:r>
      <w:r w:rsidRPr="00506621">
        <w:rPr>
          <w:rFonts w:ascii="Segoe UI" w:eastAsia="Times New Roman" w:hAnsi="Segoe UI" w:cs="Segoe UI"/>
          <w:color w:val="24292F"/>
          <w:sz w:val="24"/>
          <w:szCs w:val="24"/>
          <w:lang w:eastAsia="lv-LV"/>
        </w:rPr>
        <w:t>) no lokāla repozitorija uz galveno attālināto (</w:t>
      </w:r>
      <w:r w:rsidRPr="00506621">
        <w:rPr>
          <w:rFonts w:ascii="Segoe UI" w:eastAsia="Times New Roman" w:hAnsi="Segoe UI" w:cs="Segoe UI"/>
          <w:i/>
          <w:iCs/>
          <w:color w:val="24292F"/>
          <w:sz w:val="24"/>
          <w:szCs w:val="24"/>
          <w:lang w:eastAsia="lv-LV"/>
        </w:rPr>
        <w:t>remote</w:t>
      </w:r>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74436" w14:textId="77777777" w:rsidR="004C4419" w:rsidRDefault="004C4419" w:rsidP="001C7349">
      <w:pPr>
        <w:spacing w:after="0" w:line="240" w:lineRule="auto"/>
      </w:pPr>
      <w:r>
        <w:separator/>
      </w:r>
    </w:p>
  </w:endnote>
  <w:endnote w:type="continuationSeparator" w:id="0">
    <w:p w14:paraId="49AA2623" w14:textId="77777777" w:rsidR="004C4419" w:rsidRDefault="004C4419"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SemiBold">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51B40" w14:textId="77777777" w:rsidR="004C4419" w:rsidRDefault="004C4419" w:rsidP="001C7349">
      <w:pPr>
        <w:spacing w:after="0" w:line="240" w:lineRule="auto"/>
      </w:pPr>
      <w:r>
        <w:separator/>
      </w:r>
    </w:p>
  </w:footnote>
  <w:footnote w:type="continuationSeparator" w:id="0">
    <w:p w14:paraId="1B4B3856" w14:textId="77777777" w:rsidR="004C4419" w:rsidRDefault="004C4419"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07DFEE08" w:rsidR="001C7349" w:rsidRPr="001C7349" w:rsidRDefault="00731C7A" w:rsidP="000427E4">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14C536E7"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0427E4">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56F8B"/>
    <w:multiLevelType w:val="multilevel"/>
    <w:tmpl w:val="124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427E4"/>
    <w:rsid w:val="000E1DBE"/>
    <w:rsid w:val="000E4BB0"/>
    <w:rsid w:val="00116859"/>
    <w:rsid w:val="00156844"/>
    <w:rsid w:val="001C7349"/>
    <w:rsid w:val="00276634"/>
    <w:rsid w:val="003858CA"/>
    <w:rsid w:val="003D498E"/>
    <w:rsid w:val="004A004E"/>
    <w:rsid w:val="004C4419"/>
    <w:rsid w:val="00506621"/>
    <w:rsid w:val="005A1BD4"/>
    <w:rsid w:val="0064091B"/>
    <w:rsid w:val="00731C7A"/>
    <w:rsid w:val="0079783B"/>
    <w:rsid w:val="00844C2B"/>
    <w:rsid w:val="0088106D"/>
    <w:rsid w:val="00AC709A"/>
    <w:rsid w:val="00B33E66"/>
    <w:rsid w:val="00C36A91"/>
    <w:rsid w:val="00C91DD5"/>
    <w:rsid w:val="00CD1E23"/>
    <w:rsid w:val="00D2698A"/>
    <w:rsid w:val="00D939E2"/>
    <w:rsid w:val="00DE7821"/>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445609870">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