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080"/>
      </w:tblGrid>
      <w:tr>
        <w:trPr>
          <w:cantSplit/>
          <w:tblHeader w:val="true"/>
          <w:cantSplit/>
        </w:trPr>
        <w:tc>
          <w:tcPr>
            <w:tcW w:type="dxa" w:w="10080"/>
            <w:shd w:fill="1F4E79"/>
            <w:vAlign w:val="center"/>
          </w:tcPr>
          <w:p>
            <w:pPr>
              <w:spacing w:before="360" w:after="40"/>
              <w:jc w:val="center"/>
            </w:pPr>
            <w:r>
              <w:rPr>
                <w:b/>
                <w:color w:val="FFFFFF"/>
                <w:sz w:val="18"/>
              </w:rPr>
              <w:t>CYBERTRUST AGENTS</w:t>
            </w:r>
          </w:p>
        </w:tc>
      </w:tr>
    </w:tbl>
    <w:p>
      <w:pPr>
        <w:spacing w:before="480"/>
        <w:jc w:val="center"/>
      </w:pPr>
      <w:r>
        <w:rPr>
          <w:b/>
          <w:color w:val="1F4E79"/>
          <w:sz w:val="50"/>
        </w:rPr>
        <w:t>Contrôles complémentaires à implémenter</w:t>
      </w:r>
    </w:p>
    <w:p>
      <w:pPr>
        <w:jc w:val="center"/>
      </w:pPr>
      <w:r>
        <w:rPr>
          <w:i/>
          <w:color w:val="5B6D82"/>
          <w:sz w:val="28"/>
        </w:rPr>
        <w:t>Sécurité de l’IA agentique - Hors livrable Blast Radius</w:t>
      </w:r>
    </w:p>
    <w:p>
      <w:pPr>
        <w:spacing w:before="400"/>
        <w:jc w:val="center"/>
      </w:pPr>
      <w:r>
        <w:rPr>
          <w:color w:val="5B6D82"/>
          <w:sz w:val="22"/>
        </w:rPr>
        <w:t>Version 1.0  |  Juillet 2026</w:t>
      </w:r>
    </w:p>
    <w:p>
      <w:pPr>
        <w:spacing w:before="480"/>
      </w:pPr>
    </w:p>
    <w:tbl>
      <w:tblPr>
        <w:tblW w:type="auto" w:w="0"/>
        <w:jc w:val="center"/>
        <w:tblLayout w:type="autofit"/>
        <w:tblLook w:firstColumn="1" w:firstRow="1" w:lastColumn="0" w:lastRow="0" w:noHBand="0" w:noVBand="1" w:val="04A0"/>
      </w:tblPr>
      <w:tblGrid>
        <w:gridCol w:w="10080"/>
      </w:tblGrid>
      <w:tr>
        <w:trPr>
          <w:cantSplit/>
          <w:tblHeader w:val="true"/>
          <w:cantSplit/>
        </w:trPr>
        <w:tc>
          <w:tcPr>
            <w:tcW w:type="dxa" w:w="10080"/>
            <w:shd w:fill="EAF2F8"/>
            <w:tcBorders>
              <w:top w:val="single" w:sz="8" w:color="5B9BD5"/>
              <w:left w:val="single" w:sz="8" w:color="5B9BD5"/>
              <w:bottom w:val="single" w:sz="8" w:color="5B9BD5"/>
              <w:right w:val="single" w:sz="8" w:color="5B9BD5"/>
            </w:tcBorders>
            <w:vAlign w:val="center"/>
          </w:tcPr>
          <w:p>
            <w:pPr>
              <w:spacing w:after="40"/>
            </w:pPr>
            <w:r>
              <w:rPr>
                <w:b/>
                <w:color w:val="1F4E79"/>
                <w:sz w:val="18"/>
              </w:rPr>
              <w:t>Objet du document</w:t>
            </w:r>
          </w:p>
          <w:p>
            <w:pPr>
              <w:spacing w:after="40"/>
            </w:pPr>
            <w:r>
              <w:rPr>
                <w:sz w:val="18"/>
              </w:rPr>
              <w:t>Décrire les contrôles de sécurité agentique qui restent à intégrer dans le pilote CyberTrust Agents, sans répéter le livrable Blast Radius. Le document distingue les priorités avant démonstration, avant pilote corporatif et pour l’industrialisation.</w:t>
            </w:r>
          </w:p>
        </w:tc>
      </w:tr>
    </w:tbl>
    <w:p>
      <w:pPr>
        <w:spacing w:before="1000"/>
        <w:jc w:val="center"/>
      </w:pPr>
      <w:r>
        <w:rPr>
          <w:b/>
          <w:color w:val="1F4E79"/>
        </w:rPr>
        <w:t>Validation attendue : CISO</w:t>
      </w:r>
    </w:p>
    <w:p>
      <w:r>
        <w:br w:type="page"/>
      </w:r>
    </w:p>
    <w:p>
      <w:pPr>
        <w:pStyle w:val="Heading1"/>
      </w:pPr>
      <w:r>
        <w:t>Contrôle du document</w:t>
      </w:r>
    </w:p>
    <w:tbl>
      <w:tblPr>
        <w:tblW w:type="auto" w:w="0"/>
        <w:jc w:val="center"/>
        <w:tblLook w:firstColumn="1" w:firstRow="1" w:lastColumn="0" w:lastRow="0" w:noHBand="0" w:noVBand="1" w:val="04A0"/>
      </w:tblPr>
      <w:tblGrid>
        <w:gridCol w:w="5040"/>
        <w:gridCol w:w="5040"/>
      </w:tblGrid>
      <w:tr>
        <w:trPr>
          <w:cantSplit/>
          <w:tblHeader w:val="true"/>
          <w:cantSplit/>
        </w:trPr>
        <w:tc>
          <w:tcPr>
            <w:tcW w:type="dxa" w:w="5040"/>
            <w:shd w:fill="D9EAF7"/>
            <w:tcBorders>
              <w:top w:val="single" w:sz="4" w:color="B4C7E7"/>
              <w:left w:val="single" w:sz="4" w:color="B4C7E7"/>
              <w:bottom w:val="single" w:sz="4" w:color="B4C7E7"/>
              <w:right w:val="single" w:sz="4" w:color="B4C7E7"/>
            </w:tcBorders>
            <w:vAlign w:val="center"/>
          </w:tcPr>
          <w:p>
            <w:pPr>
              <w:spacing w:after="40"/>
            </w:pPr>
            <w:r>
              <w:rPr>
                <w:b/>
                <w:color w:val="1F4E79"/>
                <w:sz w:val="18"/>
              </w:rPr>
              <w:t>Projet</w:t>
            </w:r>
          </w:p>
        </w:tc>
        <w:tc>
          <w:tcPr>
            <w:tcW w:type="dxa" w:w="5040"/>
            <w:tcBorders>
              <w:top w:val="single" w:sz="4" w:color="B4C7E7"/>
              <w:left w:val="single" w:sz="4" w:color="B4C7E7"/>
              <w:bottom w:val="single" w:sz="4" w:color="B4C7E7"/>
              <w:right w:val="single" w:sz="4" w:color="B4C7E7"/>
            </w:tcBorders>
            <w:vAlign w:val="center"/>
          </w:tcPr>
          <w:p>
            <w:pPr>
              <w:spacing w:after="40"/>
            </w:pPr>
            <w:r>
              <w:rPr>
                <w:sz w:val="18"/>
              </w:rPr>
              <w:t>CyberTrust Agents</w:t>
            </w:r>
          </w:p>
        </w:tc>
      </w:tr>
      <w:tr>
        <w:trPr>
          <w:cantSplit/>
          <w:cantSplit/>
        </w:trPr>
        <w:tc>
          <w:tcPr>
            <w:tcW w:type="dxa" w:w="5040"/>
            <w:shd w:fill="D9EAF7"/>
            <w:tcBorders>
              <w:top w:val="single" w:sz="4" w:color="B4C7E7"/>
              <w:left w:val="single" w:sz="4" w:color="B4C7E7"/>
              <w:bottom w:val="single" w:sz="4" w:color="B4C7E7"/>
              <w:right w:val="single" w:sz="4" w:color="B4C7E7"/>
            </w:tcBorders>
            <w:vAlign w:val="center"/>
          </w:tcPr>
          <w:p>
            <w:pPr>
              <w:spacing w:after="40"/>
            </w:pPr>
            <w:r>
              <w:rPr>
                <w:b/>
                <w:color w:val="1F4E79"/>
                <w:sz w:val="18"/>
              </w:rPr>
              <w:t>Livrable</w:t>
            </w:r>
          </w:p>
        </w:tc>
        <w:tc>
          <w:tcPr>
            <w:tcW w:type="dxa" w:w="5040"/>
            <w:tcBorders>
              <w:top w:val="single" w:sz="4" w:color="B4C7E7"/>
              <w:left w:val="single" w:sz="4" w:color="B4C7E7"/>
              <w:bottom w:val="single" w:sz="4" w:color="B4C7E7"/>
              <w:right w:val="single" w:sz="4" w:color="B4C7E7"/>
            </w:tcBorders>
            <w:vAlign w:val="center"/>
          </w:tcPr>
          <w:p>
            <w:pPr>
              <w:spacing w:after="40"/>
            </w:pPr>
            <w:r>
              <w:rPr>
                <w:sz w:val="18"/>
              </w:rPr>
              <w:t>Contrôles complémentaires à implémenter</w:t>
            </w:r>
          </w:p>
        </w:tc>
      </w:tr>
      <w:tr>
        <w:trPr>
          <w:cantSplit/>
          <w:cantSplit/>
        </w:trPr>
        <w:tc>
          <w:tcPr>
            <w:tcW w:type="dxa" w:w="5040"/>
            <w:shd w:fill="D9EAF7"/>
            <w:tcBorders>
              <w:top w:val="single" w:sz="4" w:color="B4C7E7"/>
              <w:left w:val="single" w:sz="4" w:color="B4C7E7"/>
              <w:bottom w:val="single" w:sz="4" w:color="B4C7E7"/>
              <w:right w:val="single" w:sz="4" w:color="B4C7E7"/>
            </w:tcBorders>
            <w:vAlign w:val="center"/>
          </w:tcPr>
          <w:p>
            <w:pPr>
              <w:spacing w:after="40"/>
            </w:pPr>
            <w:r>
              <w:rPr>
                <w:b/>
                <w:color w:val="1F4E79"/>
                <w:sz w:val="18"/>
              </w:rPr>
              <w:t>Périmètre</w:t>
            </w:r>
          </w:p>
        </w:tc>
        <w:tc>
          <w:tcPr>
            <w:tcW w:type="dxa" w:w="5040"/>
            <w:tcBorders>
              <w:top w:val="single" w:sz="4" w:color="B4C7E7"/>
              <w:left w:val="single" w:sz="4" w:color="B4C7E7"/>
              <w:bottom w:val="single" w:sz="4" w:color="B4C7E7"/>
              <w:right w:val="single" w:sz="4" w:color="B4C7E7"/>
            </w:tcBorders>
            <w:vAlign w:val="center"/>
          </w:tcPr>
          <w:p>
            <w:pPr>
              <w:spacing w:after="40"/>
            </w:pPr>
            <w:r>
              <w:rPr>
                <w:sz w:val="18"/>
              </w:rPr>
              <w:t>Sécurité de l’IA agentique, gouvernance technique et contrôles opérationnels</w:t>
            </w:r>
          </w:p>
        </w:tc>
      </w:tr>
      <w:tr>
        <w:trPr>
          <w:cantSplit/>
          <w:cantSplit/>
        </w:trPr>
        <w:tc>
          <w:tcPr>
            <w:tcW w:type="dxa" w:w="5040"/>
            <w:shd w:fill="D9EAF7"/>
            <w:tcBorders>
              <w:top w:val="single" w:sz="4" w:color="B4C7E7"/>
              <w:left w:val="single" w:sz="4" w:color="B4C7E7"/>
              <w:bottom w:val="single" w:sz="4" w:color="B4C7E7"/>
              <w:right w:val="single" w:sz="4" w:color="B4C7E7"/>
            </w:tcBorders>
            <w:vAlign w:val="center"/>
          </w:tcPr>
          <w:p>
            <w:pPr>
              <w:spacing w:after="40"/>
            </w:pPr>
            <w:r>
              <w:rPr>
                <w:b/>
                <w:color w:val="1F4E79"/>
                <w:sz w:val="18"/>
              </w:rPr>
              <w:t>Hors périmètre</w:t>
            </w:r>
          </w:p>
        </w:tc>
        <w:tc>
          <w:tcPr>
            <w:tcW w:type="dxa" w:w="5040"/>
            <w:tcBorders>
              <w:top w:val="single" w:sz="4" w:color="B4C7E7"/>
              <w:left w:val="single" w:sz="4" w:color="B4C7E7"/>
              <w:bottom w:val="single" w:sz="4" w:color="B4C7E7"/>
              <w:right w:val="single" w:sz="4" w:color="B4C7E7"/>
            </w:tcBorders>
            <w:vAlign w:val="center"/>
          </w:tcPr>
          <w:p>
            <w:pPr>
              <w:spacing w:after="40"/>
            </w:pPr>
            <w:r>
              <w:rPr>
                <w:sz w:val="18"/>
              </w:rPr>
              <w:t>Matrice Blast Radius, remédiation automatique, production réelle et architecture swarm</w:t>
            </w:r>
          </w:p>
        </w:tc>
      </w:tr>
      <w:tr>
        <w:trPr>
          <w:cantSplit/>
          <w:cantSplit/>
        </w:trPr>
        <w:tc>
          <w:tcPr>
            <w:tcW w:type="dxa" w:w="5040"/>
            <w:shd w:fill="D9EAF7"/>
            <w:tcBorders>
              <w:top w:val="single" w:sz="4" w:color="B4C7E7"/>
              <w:left w:val="single" w:sz="4" w:color="B4C7E7"/>
              <w:bottom w:val="single" w:sz="4" w:color="B4C7E7"/>
              <w:right w:val="single" w:sz="4" w:color="B4C7E7"/>
            </w:tcBorders>
            <w:vAlign w:val="center"/>
          </w:tcPr>
          <w:p>
            <w:pPr>
              <w:spacing w:after="40"/>
            </w:pPr>
            <w:r>
              <w:rPr>
                <w:b/>
                <w:color w:val="1F4E79"/>
                <w:sz w:val="18"/>
              </w:rPr>
              <w:t>Validateur</w:t>
            </w:r>
          </w:p>
        </w:tc>
        <w:tc>
          <w:tcPr>
            <w:tcW w:type="dxa" w:w="5040"/>
            <w:tcBorders>
              <w:top w:val="single" w:sz="4" w:color="B4C7E7"/>
              <w:left w:val="single" w:sz="4" w:color="B4C7E7"/>
              <w:bottom w:val="single" w:sz="4" w:color="B4C7E7"/>
              <w:right w:val="single" w:sz="4" w:color="B4C7E7"/>
            </w:tcBorders>
            <w:vAlign w:val="center"/>
          </w:tcPr>
          <w:p>
            <w:pPr>
              <w:spacing w:after="40"/>
            </w:pPr>
            <w:r>
              <w:rPr>
                <w:sz w:val="18"/>
              </w:rPr>
              <w:t>CISO</w:t>
            </w:r>
          </w:p>
        </w:tc>
      </w:tr>
      <w:tr>
        <w:trPr>
          <w:cantSplit/>
          <w:cantSplit/>
        </w:trPr>
        <w:tc>
          <w:tcPr>
            <w:tcW w:type="dxa" w:w="5040"/>
            <w:shd w:fill="D9EAF7"/>
            <w:tcBorders>
              <w:top w:val="single" w:sz="4" w:color="B4C7E7"/>
              <w:left w:val="single" w:sz="4" w:color="B4C7E7"/>
              <w:bottom w:val="single" w:sz="4" w:color="B4C7E7"/>
              <w:right w:val="single" w:sz="4" w:color="B4C7E7"/>
            </w:tcBorders>
            <w:vAlign w:val="center"/>
          </w:tcPr>
          <w:p>
            <w:pPr>
              <w:spacing w:after="40"/>
            </w:pPr>
            <w:r>
              <w:rPr>
                <w:b/>
                <w:color w:val="1F4E79"/>
                <w:sz w:val="18"/>
              </w:rPr>
              <w:t>Statut</w:t>
            </w:r>
          </w:p>
        </w:tc>
        <w:tc>
          <w:tcPr>
            <w:tcW w:type="dxa" w:w="5040"/>
            <w:tcBorders>
              <w:top w:val="single" w:sz="4" w:color="B4C7E7"/>
              <w:left w:val="single" w:sz="4" w:color="B4C7E7"/>
              <w:bottom w:val="single" w:sz="4" w:color="B4C7E7"/>
              <w:right w:val="single" w:sz="4" w:color="B4C7E7"/>
            </w:tcBorders>
            <w:vAlign w:val="center"/>
          </w:tcPr>
          <w:p>
            <w:pPr>
              <w:spacing w:after="40"/>
            </w:pPr>
            <w:r>
              <w:rPr>
                <w:sz w:val="18"/>
              </w:rPr>
              <w:t>Proposé pour validation</w:t>
            </w:r>
          </w:p>
        </w:tc>
      </w:tr>
    </w:tbl>
    <w:p>
      <w:pPr>
        <w:pStyle w:val="Heading1"/>
      </w:pPr>
      <w:r>
        <w:t>Résumé exécutif</w:t>
      </w:r>
    </w:p>
    <w:p>
      <w:r>
        <w:rPr>
          <w:b/>
        </w:rPr>
        <w:t xml:space="preserve">Le pilote possède déjà une base de sécurité solide : </w:t>
      </w:r>
      <w:r>
        <w:t>orchestrateur MCP central, contrats JSON, séparation Générateur/Vérificateur/Validateur, références obligatoires aux Evidence, scoring déterministe, journalisation et validation humaine. Les contrôles ci-dessous complètent cette base pour maîtriser les risques spécifiques de l’IA agentique.</w:t>
      </w:r>
    </w:p>
    <w:tbl>
      <w:tblPr>
        <w:tblW w:type="auto" w:w="0"/>
        <w:jc w:val="center"/>
        <w:tblLayout w:type="autofit"/>
        <w:tblLook w:firstColumn="1" w:firstRow="1" w:lastColumn="0" w:lastRow="0" w:noHBand="0" w:noVBand="1" w:val="04A0"/>
      </w:tblPr>
      <w:tblGrid>
        <w:gridCol w:w="10080"/>
      </w:tblGrid>
      <w:tr>
        <w:trPr>
          <w:cantSplit/>
          <w:tblHeader w:val="true"/>
          <w:cantSplit/>
        </w:trPr>
        <w:tc>
          <w:tcPr>
            <w:tcW w:type="dxa" w:w="10080"/>
            <w:shd w:fill="E2F0D9"/>
            <w:tcBorders>
              <w:top w:val="single" w:sz="8" w:color="70AD47"/>
              <w:left w:val="single" w:sz="8" w:color="70AD47"/>
              <w:bottom w:val="single" w:sz="8" w:color="70AD47"/>
              <w:right w:val="single" w:sz="8" w:color="70AD47"/>
            </w:tcBorders>
            <w:vAlign w:val="center"/>
          </w:tcPr>
          <w:p>
            <w:pPr>
              <w:spacing w:after="40"/>
            </w:pPr>
            <w:r>
              <w:rPr>
                <w:b/>
                <w:color w:val="1F4E79"/>
                <w:sz w:val="18"/>
              </w:rPr>
              <w:t>Décision d’architecture</w:t>
            </w:r>
          </w:p>
          <w:p>
            <w:pPr>
              <w:spacing w:after="40"/>
            </w:pPr>
            <w:r>
              <w:rPr>
                <w:sz w:val="18"/>
              </w:rPr>
              <w:t>Les contrôles doivent être implémentés dans le serveur MCP et les composants d’infrastructure. Ils ne nécessitent ni LangGraph ni un nouvel agent LLM. Le MCP reste l’autorité de sécurité et le CISO reste l’autorité de décision.</w:t>
            </w:r>
          </w:p>
        </w:tc>
      </w:tr>
    </w:tbl>
    <w:p>
      <w:pPr>
        <w:pStyle w:val="Heading2"/>
      </w:pPr>
      <w:r>
        <w:t>Vue synthétique des priorités</w:t>
      </w:r>
    </w:p>
    <w:tbl>
      <w:tblPr>
        <w:tblW w:type="auto" w:w="0"/>
        <w:jc w:val="center"/>
        <w:tblLook w:firstColumn="1" w:firstRow="1" w:lastColumn="0" w:lastRow="0" w:noHBand="0" w:noVBand="1" w:val="04A0"/>
      </w:tblPr>
      <w:tblGrid>
        <w:gridCol w:w="2520"/>
        <w:gridCol w:w="2520"/>
        <w:gridCol w:w="2520"/>
        <w:gridCol w:w="2520"/>
      </w:tblGrid>
      <w:tr>
        <w:trPr>
          <w:cantSplit/>
          <w:tblHeader w:val="true"/>
          <w:cantSplit/>
        </w:trPr>
        <w:tc>
          <w:tcPr>
            <w:tcW w:type="dxa" w:w="2520"/>
            <w:shd w:fill="1F4E79"/>
            <w:vAlign w:val="center"/>
          </w:tcPr>
          <w:p>
            <w:pPr>
              <w:spacing w:after="40"/>
            </w:pPr>
            <w:r>
              <w:rPr>
                <w:b/>
                <w:color w:val="FFFFFF"/>
                <w:sz w:val="18"/>
              </w:rPr>
              <w:t>Priorité</w:t>
            </w:r>
          </w:p>
        </w:tc>
        <w:tc>
          <w:tcPr>
            <w:tcW w:type="dxa" w:w="2520"/>
            <w:shd w:fill="1F4E79"/>
            <w:vAlign w:val="center"/>
          </w:tcPr>
          <w:p>
            <w:pPr>
              <w:spacing w:after="40"/>
            </w:pPr>
            <w:r>
              <w:rPr>
                <w:b/>
                <w:color w:val="FFFFFF"/>
                <w:sz w:val="18"/>
              </w:rPr>
              <w:t>Moment</w:t>
            </w:r>
          </w:p>
        </w:tc>
        <w:tc>
          <w:tcPr>
            <w:tcW w:type="dxa" w:w="2520"/>
            <w:shd w:fill="1F4E79"/>
            <w:vAlign w:val="center"/>
          </w:tcPr>
          <w:p>
            <w:pPr>
              <w:spacing w:after="40"/>
            </w:pPr>
            <w:r>
              <w:rPr>
                <w:b/>
                <w:color w:val="FFFFFF"/>
                <w:sz w:val="18"/>
              </w:rPr>
              <w:t>Objectif</w:t>
            </w:r>
          </w:p>
        </w:tc>
        <w:tc>
          <w:tcPr>
            <w:tcW w:type="dxa" w:w="2520"/>
            <w:shd w:fill="1F4E79"/>
            <w:vAlign w:val="center"/>
          </w:tcPr>
          <w:p>
            <w:pPr>
              <w:spacing w:after="40"/>
            </w:pPr>
            <w:r>
              <w:rPr>
                <w:b/>
                <w:color w:val="FFFFFF"/>
                <w:sz w:val="18"/>
              </w:rPr>
              <w:t>Contrôles principaux</w:t>
            </w:r>
          </w:p>
        </w:tc>
      </w:tr>
      <w:tr>
        <w:trPr>
          <w:cantSplit/>
          <w:cantSplit/>
        </w:trPr>
        <w:tc>
          <w:tcPr>
            <w:tcW w:type="dxa" w:w="2520"/>
            <w:shd w:fill="D9EAF7"/>
            <w:tcBorders>
              <w:top w:val="single" w:sz="4" w:color="B4C7E7"/>
              <w:left w:val="single" w:sz="4" w:color="B4C7E7"/>
              <w:bottom w:val="single" w:sz="4" w:color="B4C7E7"/>
              <w:right w:val="single" w:sz="4" w:color="B4C7E7"/>
            </w:tcBorders>
            <w:vAlign w:val="center"/>
          </w:tcPr>
          <w:p>
            <w:pPr>
              <w:spacing w:after="40"/>
            </w:pPr>
            <w:r>
              <w:rPr>
                <w:b/>
                <w:sz w:val="18"/>
              </w:rPr>
              <w:t>P0</w:t>
            </w:r>
          </w:p>
        </w:tc>
        <w:tc>
          <w:tcPr>
            <w:tcW w:type="dxa" w:w="2520"/>
            <w:tcBorders>
              <w:top w:val="single" w:sz="4" w:color="B4C7E7"/>
              <w:left w:val="single" w:sz="4" w:color="B4C7E7"/>
              <w:bottom w:val="single" w:sz="4" w:color="B4C7E7"/>
              <w:right w:val="single" w:sz="4" w:color="B4C7E7"/>
            </w:tcBorders>
            <w:vAlign w:val="center"/>
          </w:tcPr>
          <w:p>
            <w:pPr>
              <w:spacing w:after="40"/>
            </w:pPr>
            <w:r>
              <w:rPr>
                <w:sz w:val="18"/>
              </w:rPr>
              <w:t>Avant démonstration finale</w:t>
            </w:r>
          </w:p>
        </w:tc>
        <w:tc>
          <w:tcPr>
            <w:tcW w:type="dxa" w:w="2520"/>
            <w:tcBorders>
              <w:top w:val="single" w:sz="4" w:color="B4C7E7"/>
              <w:left w:val="single" w:sz="4" w:color="B4C7E7"/>
              <w:bottom w:val="single" w:sz="4" w:color="B4C7E7"/>
              <w:right w:val="single" w:sz="4" w:color="B4C7E7"/>
            </w:tcBorders>
            <w:vAlign w:val="center"/>
          </w:tcPr>
          <w:p>
            <w:pPr>
              <w:spacing w:after="40"/>
            </w:pPr>
            <w:r>
              <w:rPr>
                <w:sz w:val="18"/>
              </w:rPr>
              <w:t>Empêcher les dérives immédiates</w:t>
            </w:r>
          </w:p>
        </w:tc>
        <w:tc>
          <w:tcPr>
            <w:tcW w:type="dxa" w:w="2520"/>
            <w:tcBorders>
              <w:top w:val="single" w:sz="4" w:color="B4C7E7"/>
              <w:left w:val="single" w:sz="4" w:color="B4C7E7"/>
              <w:bottom w:val="single" w:sz="4" w:color="B4C7E7"/>
              <w:right w:val="single" w:sz="4" w:color="B4C7E7"/>
            </w:tcBorders>
            <w:vAlign w:val="center"/>
          </w:tcPr>
          <w:p>
            <w:pPr>
              <w:spacing w:after="40"/>
            </w:pPr>
            <w:r>
              <w:rPr>
                <w:sz w:val="18"/>
              </w:rPr>
              <w:t>Policy Engine, budgets, mémoire isolée, validation indépendante, kill switch par run</w:t>
            </w:r>
          </w:p>
        </w:tc>
      </w:tr>
      <w:tr>
        <w:trPr>
          <w:cantSplit/>
          <w:cantSplit/>
        </w:trPr>
        <w:tc>
          <w:tcPr>
            <w:tcW w:type="dxa" w:w="2520"/>
            <w:shd w:fill="D9EAF7"/>
            <w:tcBorders>
              <w:top w:val="single" w:sz="4" w:color="B4C7E7"/>
              <w:left w:val="single" w:sz="4" w:color="B4C7E7"/>
              <w:bottom w:val="single" w:sz="4" w:color="B4C7E7"/>
              <w:right w:val="single" w:sz="4" w:color="B4C7E7"/>
            </w:tcBorders>
            <w:vAlign w:val="center"/>
          </w:tcPr>
          <w:p>
            <w:pPr>
              <w:spacing w:after="40"/>
            </w:pPr>
            <w:r>
              <w:rPr>
                <w:b/>
                <w:sz w:val="18"/>
              </w:rPr>
              <w:t>P1</w:t>
            </w:r>
          </w:p>
        </w:tc>
        <w:tc>
          <w:tcPr>
            <w:tcW w:type="dxa" w:w="2520"/>
            <w:tcBorders>
              <w:top w:val="single" w:sz="4" w:color="B4C7E7"/>
              <w:left w:val="single" w:sz="4" w:color="B4C7E7"/>
              <w:bottom w:val="single" w:sz="4" w:color="B4C7E7"/>
              <w:right w:val="single" w:sz="4" w:color="B4C7E7"/>
            </w:tcBorders>
            <w:vAlign w:val="center"/>
          </w:tcPr>
          <w:p>
            <w:pPr>
              <w:spacing w:after="40"/>
            </w:pPr>
            <w:r>
              <w:rPr>
                <w:sz w:val="18"/>
              </w:rPr>
              <w:t>Avant pilote corporatif</w:t>
            </w:r>
          </w:p>
        </w:tc>
        <w:tc>
          <w:tcPr>
            <w:tcW w:type="dxa" w:w="2520"/>
            <w:tcBorders>
              <w:top w:val="single" w:sz="4" w:color="B4C7E7"/>
              <w:left w:val="single" w:sz="4" w:color="B4C7E7"/>
              <w:bottom w:val="single" w:sz="4" w:color="B4C7E7"/>
              <w:right w:val="single" w:sz="4" w:color="B4C7E7"/>
            </w:tcBorders>
            <w:vAlign w:val="center"/>
          </w:tcPr>
          <w:p>
            <w:pPr>
              <w:spacing w:after="40"/>
            </w:pPr>
            <w:r>
              <w:rPr>
                <w:sz w:val="18"/>
              </w:rPr>
              <w:t>Sécuriser l’intégration réelle</w:t>
            </w:r>
          </w:p>
        </w:tc>
        <w:tc>
          <w:tcPr>
            <w:tcW w:type="dxa" w:w="2520"/>
            <w:tcBorders>
              <w:top w:val="single" w:sz="4" w:color="B4C7E7"/>
              <w:left w:val="single" w:sz="4" w:color="B4C7E7"/>
              <w:bottom w:val="single" w:sz="4" w:color="B4C7E7"/>
              <w:right w:val="single" w:sz="4" w:color="B4C7E7"/>
            </w:tcBorders>
            <w:vAlign w:val="center"/>
          </w:tcPr>
          <w:p>
            <w:pPr>
              <w:spacing w:after="40"/>
            </w:pPr>
            <w:r>
              <w:rPr>
                <w:sz w:val="18"/>
              </w:rPr>
              <w:t>IAM distinct, coffre de secrets, TLS, monitoring, intégrité des logs et modèles</w:t>
            </w:r>
          </w:p>
        </w:tc>
      </w:tr>
      <w:tr>
        <w:trPr>
          <w:cantSplit/>
          <w:cantSplit/>
        </w:trPr>
        <w:tc>
          <w:tcPr>
            <w:tcW w:type="dxa" w:w="2520"/>
            <w:shd w:fill="D9EAF7"/>
            <w:tcBorders>
              <w:top w:val="single" w:sz="4" w:color="B4C7E7"/>
              <w:left w:val="single" w:sz="4" w:color="B4C7E7"/>
              <w:bottom w:val="single" w:sz="4" w:color="B4C7E7"/>
              <w:right w:val="single" w:sz="4" w:color="B4C7E7"/>
            </w:tcBorders>
            <w:vAlign w:val="center"/>
          </w:tcPr>
          <w:p>
            <w:pPr>
              <w:spacing w:after="40"/>
            </w:pPr>
            <w:r>
              <w:rPr>
                <w:b/>
                <w:sz w:val="18"/>
              </w:rPr>
              <w:t>P2</w:t>
            </w:r>
          </w:p>
        </w:tc>
        <w:tc>
          <w:tcPr>
            <w:tcW w:type="dxa" w:w="2520"/>
            <w:tcBorders>
              <w:top w:val="single" w:sz="4" w:color="B4C7E7"/>
              <w:left w:val="single" w:sz="4" w:color="B4C7E7"/>
              <w:bottom w:val="single" w:sz="4" w:color="B4C7E7"/>
              <w:right w:val="single" w:sz="4" w:color="B4C7E7"/>
            </w:tcBorders>
            <w:vAlign w:val="center"/>
          </w:tcPr>
          <w:p>
            <w:pPr>
              <w:spacing w:after="40"/>
            </w:pPr>
            <w:r>
              <w:rPr>
                <w:sz w:val="18"/>
              </w:rPr>
              <w:t>Industrialisation</w:t>
            </w:r>
          </w:p>
        </w:tc>
        <w:tc>
          <w:tcPr>
            <w:tcW w:type="dxa" w:w="2520"/>
            <w:tcBorders>
              <w:top w:val="single" w:sz="4" w:color="B4C7E7"/>
              <w:left w:val="single" w:sz="4" w:color="B4C7E7"/>
              <w:bottom w:val="single" w:sz="4" w:color="B4C7E7"/>
              <w:right w:val="single" w:sz="4" w:color="B4C7E7"/>
            </w:tcBorders>
            <w:vAlign w:val="center"/>
          </w:tcPr>
          <w:p>
            <w:pPr>
              <w:spacing w:after="40"/>
            </w:pPr>
            <w:r>
              <w:rPr>
                <w:sz w:val="18"/>
              </w:rPr>
              <w:t>Assurer résilience et conformité durable</w:t>
            </w:r>
          </w:p>
        </w:tc>
        <w:tc>
          <w:tcPr>
            <w:tcW w:type="dxa" w:w="2520"/>
            <w:tcBorders>
              <w:top w:val="single" w:sz="4" w:color="B4C7E7"/>
              <w:left w:val="single" w:sz="4" w:color="B4C7E7"/>
              <w:bottom w:val="single" w:sz="4" w:color="B4C7E7"/>
              <w:right w:val="single" w:sz="4" w:color="B4C7E7"/>
            </w:tcBorders>
            <w:vAlign w:val="center"/>
          </w:tcPr>
          <w:p>
            <w:pPr>
              <w:spacing w:after="40"/>
            </w:pPr>
            <w:r>
              <w:rPr>
                <w:sz w:val="18"/>
              </w:rPr>
              <w:t>SIEM, reprise persistante, red teaming, détection de dérive, sécurité supply chain</w:t>
            </w:r>
          </w:p>
        </w:tc>
      </w:tr>
    </w:tbl>
    <w:p>
      <w:r>
        <w:br w:type="page"/>
      </w:r>
    </w:p>
    <w:p>
      <w:pPr>
        <w:pStyle w:val="Heading1"/>
      </w:pPr>
      <w:r>
        <w:t>1. Périmètre et principes directeurs</w:t>
      </w:r>
    </w:p>
    <w:p>
      <w:r>
        <w:t>Ce livrable couvre les contrôles complémentaires issus des risques d’IA agentique : mémoire, outils, privilèges, ressources, hallucinations en cascade, manipulation d’objectifs, communications inter-agents, compromission d’un agent, confidentialité et auditabilité.</w:t>
      </w:r>
    </w:p>
    <w:p>
      <w:pPr>
        <w:pStyle w:val="Heading2"/>
      </w:pPr>
      <w:r>
        <w:t>1.1 Principes directeurs</w:t>
      </w:r>
    </w:p>
    <w:p>
      <w:pPr>
        <w:pStyle w:val="ListBullet"/>
        <w:spacing w:after="40"/>
        <w:ind w:left="259"/>
      </w:pPr>
      <w:r>
        <w:t>Deny by default : toute action non explicitement autorisée est refusée.</w:t>
      </w:r>
    </w:p>
    <w:p>
      <w:pPr>
        <w:pStyle w:val="ListBullet"/>
        <w:spacing w:after="40"/>
        <w:ind w:left="259"/>
      </w:pPr>
      <w:r>
        <w:t>Autonomie minimale : les LLM proposent, le MCP contrôle et le CISO décide.</w:t>
      </w:r>
    </w:p>
    <w:p>
      <w:pPr>
        <w:pStyle w:val="ListBullet"/>
        <w:spacing w:after="40"/>
        <w:ind w:left="259"/>
      </w:pPr>
      <w:r>
        <w:t>Moindre privilège : chaque composant ne reçoit que les droits nécessaires.</w:t>
      </w:r>
    </w:p>
    <w:p>
      <w:pPr>
        <w:pStyle w:val="ListBullet"/>
        <w:spacing w:after="40"/>
        <w:ind w:left="259"/>
      </w:pPr>
      <w:r>
        <w:t>Séparation des responsabilités : génération, vérification, validation et scoring restent distincts.</w:t>
      </w:r>
    </w:p>
    <w:p>
      <w:pPr>
        <w:pStyle w:val="ListBullet"/>
        <w:spacing w:after="40"/>
        <w:ind w:left="259"/>
      </w:pPr>
      <w:r>
        <w:t>Traçabilité complète : toute transition et toute décision technique sont journalisées.</w:t>
      </w:r>
    </w:p>
    <w:p>
      <w:pPr>
        <w:pStyle w:val="ListBullet"/>
        <w:spacing w:after="40"/>
        <w:ind w:left="259"/>
      </w:pPr>
      <w:r>
        <w:t>Défense en profondeur : plusieurs contrôles indépendants bloquent la propagation d’une erreur.</w:t>
      </w:r>
    </w:p>
    <w:p>
      <w:pPr>
        <w:pStyle w:val="ListBullet"/>
        <w:spacing w:after="40"/>
        <w:ind w:left="259"/>
      </w:pPr>
      <w:r>
        <w:t>Proportionnalité : la supervision humaine augmente avec le risque et l’irréversibilité.</w:t>
      </w:r>
    </w:p>
    <w:p>
      <w:pPr>
        <w:pStyle w:val="ListBullet"/>
        <w:spacing w:after="40"/>
        <w:ind w:left="259"/>
      </w:pPr>
      <w:r>
        <w:t>Souveraineté des données : les Evidence sensibles ne sortent pas des zones approuvées.</w:t>
      </w:r>
    </w:p>
    <w:p>
      <w:pPr>
        <w:pStyle w:val="Heading2"/>
      </w:pPr>
      <w:r>
        <w:t>1.2 Chaîne de contrôle cible</w:t>
      </w:r>
    </w:p>
    <w:tbl>
      <w:tblPr>
        <w:tblW w:type="auto" w:w="0"/>
        <w:jc w:val="center"/>
        <w:tblLook w:firstColumn="1" w:firstRow="1" w:lastColumn="0" w:lastRow="0" w:noHBand="0" w:noVBand="1" w:val="04A0"/>
      </w:tblPr>
      <w:tblGrid>
        <w:gridCol w:w="10080"/>
      </w:tblGrid>
      <w:tr>
        <w:trPr>
          <w:cantSplit/>
          <w:tblHeader w:val="true"/>
          <w:cantSplit/>
        </w:trPr>
        <w:tc>
          <w:tcPr>
            <w:tcW w:type="dxa" w:w="10080"/>
            <w:shd w:fill="D9EAF7"/>
            <w:tcBorders>
              <w:top w:val="single" w:sz="4" w:color="9EADBA"/>
              <w:left w:val="single" w:sz="4" w:color="9EADBA"/>
              <w:bottom w:val="single" w:sz="4" w:color="9EADBA"/>
              <w:right w:val="single" w:sz="4" w:color="9EADBA"/>
            </w:tcBorders>
            <w:vAlign w:val="center"/>
          </w:tcPr>
          <w:p>
            <w:pPr>
              <w:spacing w:after="40"/>
              <w:jc w:val="center"/>
            </w:pPr>
            <w:r>
              <w:rPr>
                <w:b/>
                <w:sz w:val="18"/>
              </w:rPr>
              <w:t>Demande CISO</w:t>
            </w:r>
          </w:p>
        </w:tc>
      </w:tr>
      <w:tr>
        <w:trPr>
          <w:cantSplit/>
          <w:cantSplit/>
        </w:trPr>
        <w:tc>
          <w:tcPr>
            <w:tcW w:type="dxa" w:w="10080"/>
            <w:shd w:fill="EAF2F8"/>
            <w:tcBorders>
              <w:top w:val="single" w:sz="4" w:color="9EADBA"/>
              <w:left w:val="single" w:sz="4" w:color="9EADBA"/>
              <w:bottom w:val="single" w:sz="4" w:color="9EADBA"/>
              <w:right w:val="single" w:sz="4" w:color="9EADBA"/>
            </w:tcBorders>
            <w:vAlign w:val="center"/>
          </w:tcPr>
          <w:p>
            <w:pPr>
              <w:spacing w:after="40"/>
              <w:jc w:val="center"/>
            </w:pPr>
            <w:r>
              <w:rPr>
                <w:b/>
                <w:sz w:val="18"/>
              </w:rPr>
              <w:t>Validation de l’entrée</w:t>
            </w:r>
          </w:p>
        </w:tc>
      </w:tr>
      <w:tr>
        <w:trPr>
          <w:cantSplit/>
          <w:cantSplit/>
        </w:trPr>
        <w:tc>
          <w:tcPr>
            <w:tcW w:type="dxa" w:w="10080"/>
            <w:shd w:fill="FFF2CC"/>
            <w:tcBorders>
              <w:top w:val="single" w:sz="4" w:color="9EADBA"/>
              <w:left w:val="single" w:sz="4" w:color="9EADBA"/>
              <w:bottom w:val="single" w:sz="4" w:color="9EADBA"/>
              <w:right w:val="single" w:sz="4" w:color="9EADBA"/>
            </w:tcBorders>
            <w:vAlign w:val="center"/>
          </w:tcPr>
          <w:p>
            <w:pPr>
              <w:spacing w:after="40"/>
              <w:jc w:val="center"/>
            </w:pPr>
            <w:r>
              <w:rPr>
                <w:b/>
                <w:sz w:val="18"/>
              </w:rPr>
              <w:t>Policy Engine + contrôle de classification</w:t>
            </w:r>
          </w:p>
        </w:tc>
      </w:tr>
      <w:tr>
        <w:trPr>
          <w:cantSplit/>
          <w:cantSplit/>
        </w:trPr>
        <w:tc>
          <w:tcPr>
            <w:tcW w:type="dxa" w:w="10080"/>
            <w:shd w:fill="EAF2F8"/>
            <w:tcBorders>
              <w:top w:val="single" w:sz="4" w:color="9EADBA"/>
              <w:left w:val="single" w:sz="4" w:color="9EADBA"/>
              <w:bottom w:val="single" w:sz="4" w:color="9EADBA"/>
              <w:right w:val="single" w:sz="4" w:color="9EADBA"/>
            </w:tcBorders>
            <w:vAlign w:val="center"/>
          </w:tcPr>
          <w:p>
            <w:pPr>
              <w:spacing w:after="40"/>
              <w:jc w:val="center"/>
            </w:pPr>
            <w:r>
              <w:rPr>
                <w:b/>
                <w:sz w:val="18"/>
              </w:rPr>
              <w:t>Sélection des Evidence</w:t>
            </w:r>
          </w:p>
        </w:tc>
      </w:tr>
      <w:tr>
        <w:trPr>
          <w:cantSplit/>
          <w:cantSplit/>
        </w:trPr>
        <w:tc>
          <w:tcPr>
            <w:tcW w:type="dxa" w:w="10080"/>
            <w:shd w:fill="DDEBF7"/>
            <w:tcBorders>
              <w:top w:val="single" w:sz="4" w:color="9EADBA"/>
              <w:left w:val="single" w:sz="4" w:color="9EADBA"/>
              <w:bottom w:val="single" w:sz="4" w:color="9EADBA"/>
              <w:right w:val="single" w:sz="4" w:color="9EADBA"/>
            </w:tcBorders>
            <w:vAlign w:val="center"/>
          </w:tcPr>
          <w:p>
            <w:pPr>
              <w:spacing w:after="40"/>
              <w:jc w:val="center"/>
            </w:pPr>
            <w:r>
              <w:rPr>
                <w:b/>
                <w:sz w:val="18"/>
              </w:rPr>
              <w:t>Générateur</w:t>
            </w:r>
          </w:p>
        </w:tc>
      </w:tr>
      <w:tr>
        <w:trPr>
          <w:cantSplit/>
          <w:cantSplit/>
        </w:trPr>
        <w:tc>
          <w:tcPr>
            <w:tcW w:type="dxa" w:w="10080"/>
            <w:shd w:fill="FFF2CC"/>
            <w:tcBorders>
              <w:top w:val="single" w:sz="4" w:color="9EADBA"/>
              <w:left w:val="single" w:sz="4" w:color="9EADBA"/>
              <w:bottom w:val="single" w:sz="4" w:color="9EADBA"/>
              <w:right w:val="single" w:sz="4" w:color="9EADBA"/>
            </w:tcBorders>
            <w:vAlign w:val="center"/>
          </w:tcPr>
          <w:p>
            <w:pPr>
              <w:spacing w:after="40"/>
              <w:jc w:val="center"/>
            </w:pPr>
            <w:r>
              <w:rPr>
                <w:b/>
                <w:sz w:val="18"/>
              </w:rPr>
              <w:t>Validation JSON + références</w:t>
            </w:r>
          </w:p>
        </w:tc>
      </w:tr>
      <w:tr>
        <w:trPr>
          <w:cantSplit/>
          <w:cantSplit/>
        </w:trPr>
        <w:tc>
          <w:tcPr>
            <w:tcW w:type="dxa" w:w="10080"/>
            <w:shd w:fill="DDEBF7"/>
            <w:tcBorders>
              <w:top w:val="single" w:sz="4" w:color="9EADBA"/>
              <w:left w:val="single" w:sz="4" w:color="9EADBA"/>
              <w:bottom w:val="single" w:sz="4" w:color="9EADBA"/>
              <w:right w:val="single" w:sz="4" w:color="9EADBA"/>
            </w:tcBorders>
            <w:vAlign w:val="center"/>
          </w:tcPr>
          <w:p>
            <w:pPr>
              <w:spacing w:after="40"/>
              <w:jc w:val="center"/>
            </w:pPr>
            <w:r>
              <w:rPr>
                <w:b/>
                <w:sz w:val="18"/>
              </w:rPr>
              <w:t>Vérificateur indépendant</w:t>
            </w:r>
          </w:p>
        </w:tc>
      </w:tr>
      <w:tr>
        <w:trPr>
          <w:cantSplit/>
          <w:cantSplit/>
        </w:trPr>
        <w:tc>
          <w:tcPr>
            <w:tcW w:type="dxa" w:w="10080"/>
            <w:shd w:fill="DDEBF7"/>
            <w:tcBorders>
              <w:top w:val="single" w:sz="4" w:color="9EADBA"/>
              <w:left w:val="single" w:sz="4" w:color="9EADBA"/>
              <w:bottom w:val="single" w:sz="4" w:color="9EADBA"/>
              <w:right w:val="single" w:sz="4" w:color="9EADBA"/>
            </w:tcBorders>
            <w:vAlign w:val="center"/>
          </w:tcPr>
          <w:p>
            <w:pPr>
              <w:spacing w:after="40"/>
              <w:jc w:val="center"/>
            </w:pPr>
            <w:r>
              <w:rPr>
                <w:b/>
                <w:sz w:val="18"/>
              </w:rPr>
              <w:t>Validateur + MCPScore</w:t>
            </w:r>
          </w:p>
        </w:tc>
      </w:tr>
      <w:tr>
        <w:trPr>
          <w:cantSplit/>
          <w:cantSplit/>
        </w:trPr>
        <w:tc>
          <w:tcPr>
            <w:tcW w:type="dxa" w:w="10080"/>
            <w:shd w:fill="E2F0D9"/>
            <w:tcBorders>
              <w:top w:val="single" w:sz="4" w:color="9EADBA"/>
              <w:left w:val="single" w:sz="4" w:color="9EADBA"/>
              <w:bottom w:val="single" w:sz="4" w:color="9EADBA"/>
              <w:right w:val="single" w:sz="4" w:color="9EADBA"/>
            </w:tcBorders>
            <w:vAlign w:val="center"/>
          </w:tcPr>
          <w:p>
            <w:pPr>
              <w:spacing w:after="40"/>
              <w:jc w:val="center"/>
            </w:pPr>
            <w:r>
              <w:rPr>
                <w:b/>
                <w:sz w:val="18"/>
              </w:rPr>
              <w:t>Décision présentée au CISO</w:t>
            </w:r>
          </w:p>
        </w:tc>
      </w:tr>
    </w:tbl>
    <w:p>
      <w:pPr>
        <w:pStyle w:val="Heading1"/>
      </w:pPr>
      <w:r>
        <w:t>2. Contrôles complémentaires à implémenter</w:t>
      </w:r>
    </w:p>
    <w:p>
      <w:pPr>
        <w:pStyle w:val="Heading2"/>
        <w:keepNext/>
      </w:pPr>
      <w:r>
        <w:t>1. Policy Engine et autorisation par action</w:t>
      </w:r>
    </w:p>
    <w:tbl>
      <w:tblPr>
        <w:tblW w:type="auto" w:w="0"/>
        <w:jc w:val="center"/>
        <w:tblLayout w:type="fixed"/>
        <w:tblLook w:firstColumn="1" w:firstRow="1" w:lastColumn="0" w:lastRow="0" w:noHBand="0" w:noVBand="1" w:val="04A0"/>
      </w:tblPr>
      <w:tblGrid>
        <w:gridCol w:w="2232"/>
        <w:gridCol w:w="8568"/>
      </w:tblGrid>
      <w:tr>
        <w:trPr>
          <w:cantSplit/>
          <w:tblHeader w:val="true"/>
          <w:cantSplit/>
        </w:trPr>
        <w:tc>
          <w:tcPr>
            <w:tcW w:type="dxa" w:w="5040"/>
            <w:shd w:fill="D9EAF7"/>
            <w:vAlign w:val="center"/>
            <w:tcBorders>
              <w:top w:val="single" w:sz="4" w:color="B4C7E7"/>
              <w:left w:val="single" w:sz="4" w:color="B4C7E7"/>
              <w:bottom w:val="single" w:sz="4" w:color="B4C7E7"/>
              <w:right w:val="single" w:sz="4" w:color="B4C7E7"/>
            </w:tcBorders>
          </w:tcPr>
          <w:p>
            <w:pPr>
              <w:spacing w:after="40"/>
            </w:pPr>
            <w:r>
              <w:rPr>
                <w:b/>
                <w:color w:val="1F4E79"/>
                <w:sz w:val="18"/>
              </w:rPr>
              <w:t>Priorité</w:t>
            </w:r>
          </w:p>
        </w:tc>
        <w:tc>
          <w:tcPr>
            <w:tcW w:type="dxa" w:w="5040"/>
            <w:vAlign w:val="center"/>
            <w:tcBorders>
              <w:top w:val="single" w:sz="4" w:color="B4C7E7"/>
              <w:left w:val="single" w:sz="4" w:color="B4C7E7"/>
              <w:bottom w:val="single" w:sz="4" w:color="B4C7E7"/>
              <w:right w:val="single" w:sz="4" w:color="B4C7E7"/>
            </w:tcBorders>
          </w:tcPr>
          <w:p>
            <w:pPr>
              <w:spacing w:after="40"/>
            </w:pPr>
            <w:r>
              <w:rPr>
                <w:sz w:val="18"/>
              </w:rPr>
              <w:t>P0</w:t>
            </w:r>
          </w:p>
        </w:tc>
      </w:tr>
      <w:tr>
        <w:trPr>
          <w:cantSplit/>
          <w:cantSplit/>
        </w:trPr>
        <w:tc>
          <w:tcPr>
            <w:tcW w:type="dxa" w:w="5040"/>
            <w:shd w:fill="D9EAF7"/>
            <w:vAlign w:val="center"/>
            <w:tcBorders>
              <w:top w:val="single" w:sz="4" w:color="B4C7E7"/>
              <w:left w:val="single" w:sz="4" w:color="B4C7E7"/>
              <w:bottom w:val="single" w:sz="4" w:color="B4C7E7"/>
              <w:right w:val="single" w:sz="4" w:color="B4C7E7"/>
            </w:tcBorders>
          </w:tcPr>
          <w:p>
            <w:pPr>
              <w:spacing w:after="40"/>
            </w:pPr>
            <w:r>
              <w:rPr>
                <w:b/>
                <w:color w:val="1F4E79"/>
                <w:sz w:val="18"/>
              </w:rPr>
              <w:t>Objectif</w:t>
            </w:r>
          </w:p>
        </w:tc>
        <w:tc>
          <w:tcPr>
            <w:tcW w:type="dxa" w:w="5040"/>
            <w:vAlign w:val="center"/>
            <w:tcBorders>
              <w:top w:val="single" w:sz="4" w:color="B4C7E7"/>
              <w:left w:val="single" w:sz="4" w:color="B4C7E7"/>
              <w:bottom w:val="single" w:sz="4" w:color="B4C7E7"/>
              <w:right w:val="single" w:sz="4" w:color="B4C7E7"/>
            </w:tcBorders>
          </w:tcPr>
          <w:p>
            <w:pPr>
              <w:spacing w:after="40"/>
            </w:pPr>
            <w:r>
              <w:rPr>
                <w:sz w:val="18"/>
              </w:rPr>
              <w:t>Empêcher qu’un LLM modifie le workflow, choisisse librement un outil ou dépasse son rôle.</w:t>
            </w:r>
          </w:p>
        </w:tc>
      </w:tr>
      <w:tr>
        <w:trPr>
          <w:cantSplit/>
          <w:cantSplit/>
        </w:trPr>
        <w:tc>
          <w:tcPr>
            <w:tcW w:type="dxa" w:w="5040"/>
            <w:shd w:fill="D9EAF7"/>
            <w:vAlign w:val="center"/>
            <w:tcBorders>
              <w:top w:val="single" w:sz="4" w:color="B4C7E7"/>
              <w:left w:val="single" w:sz="4" w:color="B4C7E7"/>
              <w:bottom w:val="single" w:sz="4" w:color="B4C7E7"/>
              <w:right w:val="single" w:sz="4" w:color="B4C7E7"/>
            </w:tcBorders>
          </w:tcPr>
          <w:p>
            <w:pPr>
              <w:spacing w:after="40"/>
            </w:pPr>
            <w:r>
              <w:rPr>
                <w:b/>
                <w:color w:val="1F4E79"/>
                <w:sz w:val="18"/>
              </w:rPr>
              <w:t>État actuel</w:t>
            </w:r>
          </w:p>
        </w:tc>
        <w:tc>
          <w:tcPr>
            <w:tcW w:type="dxa" w:w="5040"/>
            <w:vAlign w:val="center"/>
            <w:tcBorders>
              <w:top w:val="single" w:sz="4" w:color="B4C7E7"/>
              <w:left w:val="single" w:sz="4" w:color="B4C7E7"/>
              <w:bottom w:val="single" w:sz="4" w:color="B4C7E7"/>
              <w:right w:val="single" w:sz="4" w:color="B4C7E7"/>
            </w:tcBorders>
          </w:tcPr>
          <w:p>
            <w:pPr>
              <w:spacing w:after="40"/>
            </w:pPr>
            <w:r>
              <w:rPr>
                <w:sz w:val="18"/>
              </w:rPr>
              <w:t>Des règles de blocage et une whitelist existent déjà, mais elles doivent être regroupées dans une politique explicite, versionnée et appliquée à chaque action.</w:t>
            </w:r>
          </w:p>
        </w:tc>
      </w:tr>
    </w:tbl>
    <w:p>
      <w:pPr>
        <w:spacing w:before="80"/>
      </w:pPr>
      <w:r>
        <w:rPr>
          <w:b/>
          <w:color w:val="1F4E79"/>
        </w:rPr>
        <w:t>Travaux à réaliser</w:t>
      </w:r>
    </w:p>
    <w:p>
      <w:pPr>
        <w:pStyle w:val="ListBullet"/>
        <w:spacing w:after="40"/>
        <w:ind w:left="259"/>
      </w:pPr>
      <w:r>
        <w:t>Créer un catalogue des actions autorisées par rôle : Générateur, Vérificateur, Validateur, tableau de bord et MCP.</w:t>
      </w:r>
    </w:p>
    <w:p>
      <w:pPr>
        <w:pStyle w:val="ListBullet"/>
        <w:spacing w:after="40"/>
        <w:ind w:left="259"/>
      </w:pPr>
      <w:r>
        <w:t>Évaluer chaque demande selon le rôle, l’action, les données, la classification, le risque et le budget restant.</w:t>
      </w:r>
    </w:p>
    <w:p>
      <w:pPr>
        <w:pStyle w:val="ListBullet"/>
        <w:spacing w:after="40"/>
        <w:ind w:left="259"/>
      </w:pPr>
      <w:r>
        <w:t>Refuser automatiquement les actions inconnues ou non déclarées.</w:t>
      </w:r>
    </w:p>
    <w:p>
      <w:pPr>
        <w:pStyle w:val="ListBullet"/>
        <w:spacing w:after="40"/>
        <w:ind w:left="259"/>
      </w:pPr>
      <w:r>
        <w:t>Versionner la politique et inscrire sa version dans chaque journal d’exécution.</w:t>
      </w:r>
    </w:p>
    <w:p>
      <w:pPr>
        <w:pStyle w:val="ListBullet"/>
        <w:spacing w:after="40"/>
        <w:ind w:left="259"/>
      </w:pPr>
      <w:r>
        <w:t>Séparer les décisions de sécurité déterministes des sorties probabilistes des LLM.</w:t>
      </w:r>
    </w:p>
    <w:p>
      <w:pPr>
        <w:spacing w:before="60"/>
      </w:pPr>
      <w:r>
        <w:rPr>
          <w:b/>
          <w:color w:val="1F4E79"/>
        </w:rPr>
        <w:t>Critères d'acceptation</w:t>
      </w:r>
    </w:p>
    <w:p>
      <w:pPr>
        <w:pStyle w:val="ListBullet"/>
        <w:spacing w:after="40"/>
        <w:ind w:left="259"/>
      </w:pPr>
      <w:r>
        <w:t>Une action absente de la politique retourne POLICY_BLOCKED.</w:t>
      </w:r>
    </w:p>
    <w:p>
      <w:pPr>
        <w:pStyle w:val="ListBullet"/>
        <w:spacing w:after="40"/>
        <w:ind w:left="259"/>
      </w:pPr>
      <w:r>
        <w:t>Le Générateur ne peut pas produire une ValidationDecision.</w:t>
      </w:r>
    </w:p>
    <w:p>
      <w:pPr>
        <w:pStyle w:val="ListBullet"/>
        <w:spacing w:after="40"/>
        <w:ind w:left="259"/>
      </w:pPr>
      <w:r>
        <w:t>Le Validateur ne peut pas modifier les Evidence ni appeler un endpoint externe.</w:t>
      </w:r>
    </w:p>
    <w:p>
      <w:pPr>
        <w:pStyle w:val="ListBullet"/>
        <w:spacing w:after="40"/>
        <w:ind w:left="259"/>
      </w:pPr>
      <w:r>
        <w:t>La version de politique est traçable pour chaque run.</w:t>
      </w:r>
    </w:p>
    <w:p>
      <w:pPr>
        <w:spacing w:before="60"/>
      </w:pPr>
      <w:r>
        <w:rPr>
          <w:b/>
          <w:color w:val="1F4E79"/>
        </w:rPr>
        <w:t>Preuves attendues</w:t>
      </w:r>
    </w:p>
    <w:p>
      <w:pPr>
        <w:pStyle w:val="ListBullet"/>
        <w:spacing w:after="40"/>
        <w:ind w:left="259"/>
      </w:pPr>
      <w:r>
        <w:t>Fichier de politique versionné</w:t>
      </w:r>
    </w:p>
    <w:p>
      <w:pPr>
        <w:pStyle w:val="ListBullet"/>
        <w:spacing w:after="40"/>
        <w:ind w:left="259"/>
      </w:pPr>
      <w:r>
        <w:t>Tests positifs et négatifs par rôle</w:t>
      </w:r>
    </w:p>
    <w:p>
      <w:pPr>
        <w:pStyle w:val="ListBullet"/>
        <w:spacing w:after="40"/>
        <w:ind w:left="259"/>
      </w:pPr>
      <w:r>
        <w:t>Extraits de logs POLICY_ALLOWED et POLICY_BLOCKED</w:t>
      </w:r>
    </w:p>
    <w:p>
      <w:pPr>
        <w:pStyle w:val="Heading2"/>
        <w:keepNext/>
      </w:pPr>
      <w:r>
        <w:t>2. Proxy d’outils et interdiction des accès directs</w:t>
      </w:r>
    </w:p>
    <w:tbl>
      <w:tblPr>
        <w:tblW w:type="auto" w:w="0"/>
        <w:jc w:val="center"/>
        <w:tblLayout w:type="fixed"/>
        <w:tblLook w:firstColumn="1" w:firstRow="1" w:lastColumn="0" w:lastRow="0" w:noHBand="0" w:noVBand="1" w:val="04A0"/>
      </w:tblPr>
      <w:tblGrid>
        <w:gridCol w:w="2232"/>
        <w:gridCol w:w="8568"/>
      </w:tblGrid>
      <w:tr>
        <w:trPr>
          <w:cantSplit/>
          <w:tblHeader w:val="true"/>
          <w:cantSplit/>
        </w:trPr>
        <w:tc>
          <w:tcPr>
            <w:tcW w:type="dxa" w:w="5040"/>
            <w:shd w:fill="D9EAF7"/>
            <w:vAlign w:val="center"/>
            <w:tcBorders>
              <w:top w:val="single" w:sz="4" w:color="B4C7E7"/>
              <w:left w:val="single" w:sz="4" w:color="B4C7E7"/>
              <w:bottom w:val="single" w:sz="4" w:color="B4C7E7"/>
              <w:right w:val="single" w:sz="4" w:color="B4C7E7"/>
            </w:tcBorders>
          </w:tcPr>
          <w:p>
            <w:pPr>
              <w:spacing w:after="40"/>
            </w:pPr>
            <w:r>
              <w:rPr>
                <w:b/>
                <w:color w:val="1F4E79"/>
                <w:sz w:val="18"/>
              </w:rPr>
              <w:t>Priorité</w:t>
            </w:r>
          </w:p>
        </w:tc>
        <w:tc>
          <w:tcPr>
            <w:tcW w:type="dxa" w:w="5040"/>
            <w:vAlign w:val="center"/>
            <w:tcBorders>
              <w:top w:val="single" w:sz="4" w:color="B4C7E7"/>
              <w:left w:val="single" w:sz="4" w:color="B4C7E7"/>
              <w:bottom w:val="single" w:sz="4" w:color="B4C7E7"/>
              <w:right w:val="single" w:sz="4" w:color="B4C7E7"/>
            </w:tcBorders>
          </w:tcPr>
          <w:p>
            <w:pPr>
              <w:spacing w:after="40"/>
            </w:pPr>
            <w:r>
              <w:rPr>
                <w:sz w:val="18"/>
              </w:rPr>
              <w:t>P0</w:t>
            </w:r>
          </w:p>
        </w:tc>
      </w:tr>
      <w:tr>
        <w:trPr>
          <w:cantSplit/>
          <w:cantSplit/>
        </w:trPr>
        <w:tc>
          <w:tcPr>
            <w:tcW w:type="dxa" w:w="5040"/>
            <w:shd w:fill="D9EAF7"/>
            <w:vAlign w:val="center"/>
            <w:tcBorders>
              <w:top w:val="single" w:sz="4" w:color="B4C7E7"/>
              <w:left w:val="single" w:sz="4" w:color="B4C7E7"/>
              <w:bottom w:val="single" w:sz="4" w:color="B4C7E7"/>
              <w:right w:val="single" w:sz="4" w:color="B4C7E7"/>
            </w:tcBorders>
          </w:tcPr>
          <w:p>
            <w:pPr>
              <w:spacing w:after="40"/>
            </w:pPr>
            <w:r>
              <w:rPr>
                <w:b/>
                <w:color w:val="1F4E79"/>
                <w:sz w:val="18"/>
              </w:rPr>
              <w:t>Objectif</w:t>
            </w:r>
          </w:p>
        </w:tc>
        <w:tc>
          <w:tcPr>
            <w:tcW w:type="dxa" w:w="5040"/>
            <w:vAlign w:val="center"/>
            <w:tcBorders>
              <w:top w:val="single" w:sz="4" w:color="B4C7E7"/>
              <w:left w:val="single" w:sz="4" w:color="B4C7E7"/>
              <w:bottom w:val="single" w:sz="4" w:color="B4C7E7"/>
              <w:right w:val="single" w:sz="4" w:color="B4C7E7"/>
            </w:tcBorders>
          </w:tcPr>
          <w:p>
            <w:pPr>
              <w:spacing w:after="40"/>
            </w:pPr>
            <w:r>
              <w:rPr>
                <w:sz w:val="18"/>
              </w:rPr>
              <w:t>Réduire le risque de détournement d’outil et empêcher l’exposition de secrets aux modèles.</w:t>
            </w:r>
          </w:p>
        </w:tc>
      </w:tr>
      <w:tr>
        <w:trPr>
          <w:cantSplit/>
          <w:cantSplit/>
        </w:trPr>
        <w:tc>
          <w:tcPr>
            <w:tcW w:type="dxa" w:w="5040"/>
            <w:shd w:fill="D9EAF7"/>
            <w:vAlign w:val="center"/>
            <w:tcBorders>
              <w:top w:val="single" w:sz="4" w:color="B4C7E7"/>
              <w:left w:val="single" w:sz="4" w:color="B4C7E7"/>
              <w:bottom w:val="single" w:sz="4" w:color="B4C7E7"/>
              <w:right w:val="single" w:sz="4" w:color="B4C7E7"/>
            </w:tcBorders>
          </w:tcPr>
          <w:p>
            <w:pPr>
              <w:spacing w:after="40"/>
            </w:pPr>
            <w:r>
              <w:rPr>
                <w:b/>
                <w:color w:val="1F4E79"/>
                <w:sz w:val="18"/>
              </w:rPr>
              <w:t>État actuel</w:t>
            </w:r>
          </w:p>
        </w:tc>
        <w:tc>
          <w:tcPr>
            <w:tcW w:type="dxa" w:w="5040"/>
            <w:vAlign w:val="center"/>
            <w:tcBorders>
              <w:top w:val="single" w:sz="4" w:color="B4C7E7"/>
              <w:left w:val="single" w:sz="4" w:color="B4C7E7"/>
              <w:bottom w:val="single" w:sz="4" w:color="B4C7E7"/>
              <w:right w:val="single" w:sz="4" w:color="B4C7E7"/>
            </w:tcBorders>
          </w:tcPr>
          <w:p>
            <w:pPr>
              <w:spacing w:after="40"/>
            </w:pPr>
            <w:r>
              <w:rPr>
                <w:sz w:val="18"/>
              </w:rPr>
              <w:t>Le pilote limite déjà les endpoints, mais l’architecture doit formaliser que les LLM ne reçoivent jamais de credentials ni d’accès direct aux systèmes.</w:t>
            </w:r>
          </w:p>
        </w:tc>
      </w:tr>
    </w:tbl>
    <w:p>
      <w:pPr>
        <w:spacing w:before="80"/>
      </w:pPr>
      <w:r>
        <w:rPr>
          <w:b/>
          <w:color w:val="1F4E79"/>
        </w:rPr>
        <w:t>Travaux à réaliser</w:t>
      </w:r>
    </w:p>
    <w:p>
      <w:pPr>
        <w:pStyle w:val="ListBullet"/>
        <w:spacing w:after="40"/>
        <w:ind w:left="259"/>
      </w:pPr>
      <w:r>
        <w:t>Faire passer toutes les demandes d’outil par le MCP sous forme de messages JSON structurés.</w:t>
      </w:r>
    </w:p>
    <w:p>
      <w:pPr>
        <w:pStyle w:val="ListBullet"/>
        <w:spacing w:after="40"/>
        <w:ind w:left="259"/>
      </w:pPr>
      <w:r>
        <w:t>Supprimer tout secret, token, chaîne de connexion ou chemin sensible des prompts.</w:t>
      </w:r>
    </w:p>
    <w:p>
      <w:pPr>
        <w:pStyle w:val="ListBullet"/>
        <w:spacing w:after="40"/>
        <w:ind w:left="259"/>
      </w:pPr>
      <w:r>
        <w:t>Créer des adaptateurs MCP dédiés et limités à une opération précise.</w:t>
      </w:r>
    </w:p>
    <w:p>
      <w:pPr>
        <w:pStyle w:val="ListBullet"/>
        <w:spacing w:after="40"/>
        <w:ind w:left="259"/>
      </w:pPr>
      <w:r>
        <w:t>Valider les arguments, la destination, la taille de la requête et le résultat avant retour au LLM.</w:t>
      </w:r>
    </w:p>
    <w:p>
      <w:pPr>
        <w:pStyle w:val="ListBullet"/>
        <w:spacing w:after="40"/>
        <w:ind w:left="259"/>
      </w:pPr>
      <w:r>
        <w:t>Bloquer shell, exécution de code et réseau général dans le pilote.</w:t>
      </w:r>
    </w:p>
    <w:p>
      <w:pPr>
        <w:spacing w:before="60"/>
      </w:pPr>
      <w:r>
        <w:rPr>
          <w:b/>
          <w:color w:val="1F4E79"/>
        </w:rPr>
        <w:t>Critères d'acceptation</w:t>
      </w:r>
    </w:p>
    <w:p>
      <w:pPr>
        <w:pStyle w:val="ListBullet"/>
        <w:spacing w:after="40"/>
        <w:ind w:left="259"/>
      </w:pPr>
      <w:r>
        <w:t>Aucun modèle ne possède de credential corporatif.</w:t>
      </w:r>
    </w:p>
    <w:p>
      <w:pPr>
        <w:pStyle w:val="ListBullet"/>
        <w:spacing w:after="40"/>
        <w:ind w:left="259"/>
      </w:pPr>
      <w:r>
        <w:t>Toute tentative d’appel direct est impossible ou bloquée.</w:t>
      </w:r>
    </w:p>
    <w:p>
      <w:pPr>
        <w:pStyle w:val="ListBullet"/>
        <w:spacing w:after="40"/>
        <w:ind w:left="259"/>
      </w:pPr>
      <w:r>
        <w:t>Les arguments non conformes sont rejetés avant exécution.</w:t>
      </w:r>
    </w:p>
    <w:p>
      <w:pPr>
        <w:pStyle w:val="ListBullet"/>
        <w:spacing w:after="40"/>
        <w:ind w:left="259"/>
      </w:pPr>
      <w:r>
        <w:t>Les journaux ne contiennent aucun secret.</w:t>
      </w:r>
    </w:p>
    <w:p>
      <w:pPr>
        <w:spacing w:before="60"/>
      </w:pPr>
      <w:r>
        <w:rPr>
          <w:b/>
          <w:color w:val="1F4E79"/>
        </w:rPr>
        <w:t>Preuves attendues</w:t>
      </w:r>
    </w:p>
    <w:p>
      <w:pPr>
        <w:pStyle w:val="ListBullet"/>
        <w:spacing w:after="40"/>
        <w:ind w:left="259"/>
      </w:pPr>
      <w:r>
        <w:t>Inventaire des adaptateurs</w:t>
      </w:r>
    </w:p>
    <w:p>
      <w:pPr>
        <w:pStyle w:val="ListBullet"/>
        <w:spacing w:after="40"/>
        <w:ind w:left="259"/>
      </w:pPr>
      <w:r>
        <w:t>Matrice rôle-outil-action</w:t>
      </w:r>
    </w:p>
    <w:p>
      <w:pPr>
        <w:pStyle w:val="ListBullet"/>
        <w:spacing w:after="40"/>
        <w:ind w:left="259"/>
      </w:pPr>
      <w:r>
        <w:t>Tests de détournement d’outil et de fuite de secret</w:t>
      </w:r>
    </w:p>
    <w:p>
      <w:pPr>
        <w:pStyle w:val="Heading2"/>
        <w:keepNext/>
      </w:pPr>
      <w:r>
        <w:t>3. RunContext et mémoire éphémère isolée</w:t>
      </w:r>
    </w:p>
    <w:tbl>
      <w:tblPr>
        <w:tblW w:type="auto" w:w="0"/>
        <w:jc w:val="center"/>
        <w:tblLayout w:type="fixed"/>
        <w:tblLook w:firstColumn="1" w:firstRow="1" w:lastColumn="0" w:lastRow="0" w:noHBand="0" w:noVBand="1" w:val="04A0"/>
      </w:tblPr>
      <w:tblGrid>
        <w:gridCol w:w="2232"/>
        <w:gridCol w:w="8568"/>
      </w:tblGrid>
      <w:tr>
        <w:trPr>
          <w:cantSplit/>
          <w:tblHeader w:val="true"/>
          <w:cantSplit/>
        </w:trPr>
        <w:tc>
          <w:tcPr>
            <w:tcW w:type="dxa" w:w="5040"/>
            <w:shd w:fill="D9EAF7"/>
            <w:vAlign w:val="center"/>
            <w:tcBorders>
              <w:top w:val="single" w:sz="4" w:color="B4C7E7"/>
              <w:left w:val="single" w:sz="4" w:color="B4C7E7"/>
              <w:bottom w:val="single" w:sz="4" w:color="B4C7E7"/>
              <w:right w:val="single" w:sz="4" w:color="B4C7E7"/>
            </w:tcBorders>
          </w:tcPr>
          <w:p>
            <w:pPr>
              <w:spacing w:after="40"/>
            </w:pPr>
            <w:r>
              <w:rPr>
                <w:b/>
                <w:color w:val="1F4E79"/>
                <w:sz w:val="18"/>
              </w:rPr>
              <w:t>Priorité</w:t>
            </w:r>
          </w:p>
        </w:tc>
        <w:tc>
          <w:tcPr>
            <w:tcW w:type="dxa" w:w="5040"/>
            <w:vAlign w:val="center"/>
            <w:tcBorders>
              <w:top w:val="single" w:sz="4" w:color="B4C7E7"/>
              <w:left w:val="single" w:sz="4" w:color="B4C7E7"/>
              <w:bottom w:val="single" w:sz="4" w:color="B4C7E7"/>
              <w:right w:val="single" w:sz="4" w:color="B4C7E7"/>
            </w:tcBorders>
          </w:tcPr>
          <w:p>
            <w:pPr>
              <w:spacing w:after="40"/>
            </w:pPr>
            <w:r>
              <w:rPr>
                <w:sz w:val="18"/>
              </w:rPr>
              <w:t>P0</w:t>
            </w:r>
          </w:p>
        </w:tc>
      </w:tr>
      <w:tr>
        <w:trPr>
          <w:cantSplit/>
          <w:cantSplit/>
        </w:trPr>
        <w:tc>
          <w:tcPr>
            <w:tcW w:type="dxa" w:w="5040"/>
            <w:shd w:fill="D9EAF7"/>
            <w:vAlign w:val="center"/>
            <w:tcBorders>
              <w:top w:val="single" w:sz="4" w:color="B4C7E7"/>
              <w:left w:val="single" w:sz="4" w:color="B4C7E7"/>
              <w:bottom w:val="single" w:sz="4" w:color="B4C7E7"/>
              <w:right w:val="single" w:sz="4" w:color="B4C7E7"/>
            </w:tcBorders>
          </w:tcPr>
          <w:p>
            <w:pPr>
              <w:spacing w:after="40"/>
            </w:pPr>
            <w:r>
              <w:rPr>
                <w:b/>
                <w:color w:val="1F4E79"/>
                <w:sz w:val="18"/>
              </w:rPr>
              <w:t>Objectif</w:t>
            </w:r>
          </w:p>
        </w:tc>
        <w:tc>
          <w:tcPr>
            <w:tcW w:type="dxa" w:w="5040"/>
            <w:vAlign w:val="center"/>
            <w:tcBorders>
              <w:top w:val="single" w:sz="4" w:color="B4C7E7"/>
              <w:left w:val="single" w:sz="4" w:color="B4C7E7"/>
              <w:bottom w:val="single" w:sz="4" w:color="B4C7E7"/>
              <w:right w:val="single" w:sz="4" w:color="B4C7E7"/>
            </w:tcBorders>
          </w:tcPr>
          <w:p>
            <w:pPr>
              <w:spacing w:after="40"/>
            </w:pPr>
            <w:r>
              <w:rPr>
                <w:sz w:val="18"/>
              </w:rPr>
              <w:t>Empêcher l’empoisonnement de mémoire, les mélanges entre sessions et la réutilisation involontaire d’un ancien résultat.</w:t>
            </w:r>
          </w:p>
        </w:tc>
      </w:tr>
      <w:tr>
        <w:trPr>
          <w:cantSplit/>
          <w:cantSplit/>
        </w:trPr>
        <w:tc>
          <w:tcPr>
            <w:tcW w:type="dxa" w:w="5040"/>
            <w:shd w:fill="D9EAF7"/>
            <w:vAlign w:val="center"/>
            <w:tcBorders>
              <w:top w:val="single" w:sz="4" w:color="B4C7E7"/>
              <w:left w:val="single" w:sz="4" w:color="B4C7E7"/>
              <w:bottom w:val="single" w:sz="4" w:color="B4C7E7"/>
              <w:right w:val="single" w:sz="4" w:color="B4C7E7"/>
            </w:tcBorders>
          </w:tcPr>
          <w:p>
            <w:pPr>
              <w:spacing w:after="40"/>
            </w:pPr>
            <w:r>
              <w:rPr>
                <w:b/>
                <w:color w:val="1F4E79"/>
                <w:sz w:val="18"/>
              </w:rPr>
              <w:t>État actuel</w:t>
            </w:r>
          </w:p>
        </w:tc>
        <w:tc>
          <w:tcPr>
            <w:tcW w:type="dxa" w:w="5040"/>
            <w:vAlign w:val="center"/>
            <w:tcBorders>
              <w:top w:val="single" w:sz="4" w:color="B4C7E7"/>
              <w:left w:val="single" w:sz="4" w:color="B4C7E7"/>
              <w:bottom w:val="single" w:sz="4" w:color="B4C7E7"/>
              <w:right w:val="single" w:sz="4" w:color="B4C7E7"/>
            </w:tcBorders>
          </w:tcPr>
          <w:p>
            <w:pPr>
              <w:spacing w:after="40"/>
            </w:pPr>
            <w:r>
              <w:rPr>
                <w:sz w:val="18"/>
              </w:rPr>
              <w:t>Le projet utilise déjà session_id et correlation_id, mais un contrat d’état unique et une politique de rétention doivent être formalisés.</w:t>
            </w:r>
          </w:p>
        </w:tc>
      </w:tr>
    </w:tbl>
    <w:p>
      <w:pPr>
        <w:spacing w:before="80"/>
      </w:pPr>
      <w:r>
        <w:rPr>
          <w:b/>
          <w:color w:val="1F4E79"/>
        </w:rPr>
        <w:t>Travaux à réaliser</w:t>
      </w:r>
    </w:p>
    <w:p>
      <w:pPr>
        <w:pStyle w:val="ListBullet"/>
        <w:spacing w:after="40"/>
        <w:ind w:left="259"/>
      </w:pPr>
      <w:r>
        <w:t>Créer un objet RunContext isolé par run_id.</w:t>
      </w:r>
    </w:p>
    <w:p>
      <w:pPr>
        <w:pStyle w:val="ListBullet"/>
        <w:spacing w:after="40"/>
        <w:ind w:left="259"/>
      </w:pPr>
      <w:r>
        <w:t>Limiter le contexte aux Evidence sélectionnées, résultats intermédiaires, compteurs, versions et état courant.</w:t>
      </w:r>
    </w:p>
    <w:p>
      <w:pPr>
        <w:pStyle w:val="ListBullet"/>
        <w:spacing w:after="40"/>
        <w:ind w:left="259"/>
      </w:pPr>
      <w:r>
        <w:t>Interdire toute mémoire globale modifiable par les LLM.</w:t>
      </w:r>
    </w:p>
    <w:p>
      <w:pPr>
        <w:pStyle w:val="ListBullet"/>
        <w:spacing w:after="40"/>
        <w:ind w:left="259"/>
      </w:pPr>
      <w:r>
        <w:t>Définir une durée de rétention et une procédure de suppression ou d’archivage.</w:t>
      </w:r>
    </w:p>
    <w:p>
      <w:pPr>
        <w:pStyle w:val="ListBullet"/>
        <w:spacing w:after="40"/>
        <w:ind w:left="259"/>
      </w:pPr>
      <w:r>
        <w:t>Vérifier l’intégrité du contexte avant chaque transition.</w:t>
      </w:r>
    </w:p>
    <w:p>
      <w:pPr>
        <w:spacing w:before="60"/>
      </w:pPr>
      <w:r>
        <w:rPr>
          <w:b/>
          <w:color w:val="1F4E79"/>
        </w:rPr>
        <w:t>Critères d'acceptation</w:t>
      </w:r>
    </w:p>
    <w:p>
      <w:pPr>
        <w:pStyle w:val="ListBullet"/>
        <w:spacing w:after="40"/>
        <w:ind w:left="259"/>
      </w:pPr>
      <w:r>
        <w:t>Deux runs ne peuvent pas lire ou modifier leurs contextes respectifs.</w:t>
      </w:r>
    </w:p>
    <w:p>
      <w:pPr>
        <w:pStyle w:val="ListBullet"/>
        <w:spacing w:after="40"/>
        <w:ind w:left="259"/>
      </w:pPr>
      <w:r>
        <w:t>Un run expiré ne peut pas être repris sans autorisation explicite.</w:t>
      </w:r>
    </w:p>
    <w:p>
      <w:pPr>
        <w:pStyle w:val="ListBullet"/>
        <w:spacing w:after="40"/>
        <w:ind w:left="259"/>
      </w:pPr>
      <w:r>
        <w:t>Les anciennes sorties ne sont jamais réinjectées automatiquement.</w:t>
      </w:r>
    </w:p>
    <w:p>
      <w:pPr>
        <w:pStyle w:val="ListBullet"/>
        <w:spacing w:after="40"/>
        <w:ind w:left="259"/>
      </w:pPr>
      <w:r>
        <w:t>La suppression du contexte est testée.</w:t>
      </w:r>
    </w:p>
    <w:p>
      <w:pPr>
        <w:spacing w:before="60"/>
      </w:pPr>
      <w:r>
        <w:rPr>
          <w:b/>
          <w:color w:val="1F4E79"/>
        </w:rPr>
        <w:t>Preuves attendues</w:t>
      </w:r>
    </w:p>
    <w:p>
      <w:pPr>
        <w:pStyle w:val="ListBullet"/>
        <w:spacing w:after="40"/>
        <w:ind w:left="259"/>
      </w:pPr>
      <w:r>
        <w:t>Schéma RunContext</w:t>
      </w:r>
    </w:p>
    <w:p>
      <w:pPr>
        <w:pStyle w:val="ListBullet"/>
        <w:spacing w:after="40"/>
        <w:ind w:left="259"/>
      </w:pPr>
      <w:r>
        <w:t>Test d’isolation multi-session</w:t>
      </w:r>
    </w:p>
    <w:p>
      <w:pPr>
        <w:pStyle w:val="ListBullet"/>
        <w:spacing w:after="40"/>
        <w:ind w:left="259"/>
      </w:pPr>
      <w:r>
        <w:t>Journal de création, expiration et suppression</w:t>
      </w:r>
    </w:p>
    <w:p>
      <w:pPr>
        <w:pStyle w:val="Heading2"/>
        <w:keepNext/>
      </w:pPr>
      <w:r>
        <w:t>4. Validation indépendante contre les Evidence</w:t>
      </w:r>
    </w:p>
    <w:tbl>
      <w:tblPr>
        <w:tblW w:type="auto" w:w="0"/>
        <w:jc w:val="center"/>
        <w:tblLayout w:type="fixed"/>
        <w:tblLook w:firstColumn="1" w:firstRow="1" w:lastColumn="0" w:lastRow="0" w:noHBand="0" w:noVBand="1" w:val="04A0"/>
      </w:tblPr>
      <w:tblGrid>
        <w:gridCol w:w="2232"/>
        <w:gridCol w:w="8568"/>
      </w:tblGrid>
      <w:tr>
        <w:trPr>
          <w:cantSplit/>
          <w:tblHeader w:val="true"/>
          <w:cantSplit/>
        </w:trPr>
        <w:tc>
          <w:tcPr>
            <w:tcW w:type="dxa" w:w="5040"/>
            <w:shd w:fill="D9EAF7"/>
            <w:vAlign w:val="center"/>
            <w:tcBorders>
              <w:top w:val="single" w:sz="4" w:color="B4C7E7"/>
              <w:left w:val="single" w:sz="4" w:color="B4C7E7"/>
              <w:bottom w:val="single" w:sz="4" w:color="B4C7E7"/>
              <w:right w:val="single" w:sz="4" w:color="B4C7E7"/>
            </w:tcBorders>
          </w:tcPr>
          <w:p>
            <w:pPr>
              <w:spacing w:after="40"/>
            </w:pPr>
            <w:r>
              <w:rPr>
                <w:b/>
                <w:color w:val="1F4E79"/>
                <w:sz w:val="18"/>
              </w:rPr>
              <w:t>Priorité</w:t>
            </w:r>
          </w:p>
        </w:tc>
        <w:tc>
          <w:tcPr>
            <w:tcW w:type="dxa" w:w="5040"/>
            <w:vAlign w:val="center"/>
            <w:tcBorders>
              <w:top w:val="single" w:sz="4" w:color="B4C7E7"/>
              <w:left w:val="single" w:sz="4" w:color="B4C7E7"/>
              <w:bottom w:val="single" w:sz="4" w:color="B4C7E7"/>
              <w:right w:val="single" w:sz="4" w:color="B4C7E7"/>
            </w:tcBorders>
          </w:tcPr>
          <w:p>
            <w:pPr>
              <w:spacing w:after="40"/>
            </w:pPr>
            <w:r>
              <w:rPr>
                <w:sz w:val="18"/>
              </w:rPr>
              <w:t>P0</w:t>
            </w:r>
          </w:p>
        </w:tc>
      </w:tr>
      <w:tr>
        <w:trPr>
          <w:cantSplit/>
          <w:cantSplit/>
        </w:trPr>
        <w:tc>
          <w:tcPr>
            <w:tcW w:type="dxa" w:w="5040"/>
            <w:shd w:fill="D9EAF7"/>
            <w:vAlign w:val="center"/>
            <w:tcBorders>
              <w:top w:val="single" w:sz="4" w:color="B4C7E7"/>
              <w:left w:val="single" w:sz="4" w:color="B4C7E7"/>
              <w:bottom w:val="single" w:sz="4" w:color="B4C7E7"/>
              <w:right w:val="single" w:sz="4" w:color="B4C7E7"/>
            </w:tcBorders>
          </w:tcPr>
          <w:p>
            <w:pPr>
              <w:spacing w:after="40"/>
            </w:pPr>
            <w:r>
              <w:rPr>
                <w:b/>
                <w:color w:val="1F4E79"/>
                <w:sz w:val="18"/>
              </w:rPr>
              <w:t>Objectif</w:t>
            </w:r>
          </w:p>
        </w:tc>
        <w:tc>
          <w:tcPr>
            <w:tcW w:type="dxa" w:w="5040"/>
            <w:vAlign w:val="center"/>
            <w:tcBorders>
              <w:top w:val="single" w:sz="4" w:color="B4C7E7"/>
              <w:left w:val="single" w:sz="4" w:color="B4C7E7"/>
              <w:bottom w:val="single" w:sz="4" w:color="B4C7E7"/>
              <w:right w:val="single" w:sz="4" w:color="B4C7E7"/>
            </w:tcBorders>
          </w:tcPr>
          <w:p>
            <w:pPr>
              <w:spacing w:after="40"/>
            </w:pPr>
            <w:r>
              <w:rPr>
                <w:sz w:val="18"/>
              </w:rPr>
              <w:t>Limiter les hallucinations en cascade et empêcher qu’une erreur du Générateur devienne une vérité pour les agents suivants.</w:t>
            </w:r>
          </w:p>
        </w:tc>
      </w:tr>
      <w:tr>
        <w:trPr>
          <w:cantSplit/>
          <w:cantSplit/>
        </w:trPr>
        <w:tc>
          <w:tcPr>
            <w:tcW w:type="dxa" w:w="5040"/>
            <w:shd w:fill="D9EAF7"/>
            <w:vAlign w:val="center"/>
            <w:tcBorders>
              <w:top w:val="single" w:sz="4" w:color="B4C7E7"/>
              <w:left w:val="single" w:sz="4" w:color="B4C7E7"/>
              <w:bottom w:val="single" w:sz="4" w:color="B4C7E7"/>
              <w:right w:val="single" w:sz="4" w:color="B4C7E7"/>
            </w:tcBorders>
          </w:tcPr>
          <w:p>
            <w:pPr>
              <w:spacing w:after="40"/>
            </w:pPr>
            <w:r>
              <w:rPr>
                <w:b/>
                <w:color w:val="1F4E79"/>
                <w:sz w:val="18"/>
              </w:rPr>
              <w:t>État actuel</w:t>
            </w:r>
          </w:p>
        </w:tc>
        <w:tc>
          <w:tcPr>
            <w:tcW w:type="dxa" w:w="5040"/>
            <w:vAlign w:val="center"/>
            <w:tcBorders>
              <w:top w:val="single" w:sz="4" w:color="B4C7E7"/>
              <w:left w:val="single" w:sz="4" w:color="B4C7E7"/>
              <w:bottom w:val="single" w:sz="4" w:color="B4C7E7"/>
              <w:right w:val="single" w:sz="4" w:color="B4C7E7"/>
            </w:tcBorders>
          </w:tcPr>
          <w:p>
            <w:pPr>
              <w:spacing w:after="40"/>
            </w:pPr>
            <w:r>
              <w:rPr>
                <w:sz w:val="18"/>
              </w:rPr>
              <w:t>Le Vérificateur et le Validateur existent déjà ; leur indépendance doit être garantie par les entrées et les règles.</w:t>
            </w:r>
          </w:p>
        </w:tc>
      </w:tr>
    </w:tbl>
    <w:p>
      <w:pPr>
        <w:spacing w:before="80"/>
      </w:pPr>
      <w:r>
        <w:rPr>
          <w:b/>
          <w:color w:val="1F4E79"/>
        </w:rPr>
        <w:t>Travaux à réaliser</w:t>
      </w:r>
    </w:p>
    <w:p>
      <w:pPr>
        <w:pStyle w:val="ListBullet"/>
        <w:spacing w:after="40"/>
        <w:ind w:left="259"/>
      </w:pPr>
      <w:r>
        <w:t>Fournir au Vérificateur les Evidence originales en plus du Claim.</w:t>
      </w:r>
    </w:p>
    <w:p>
      <w:pPr>
        <w:pStyle w:val="ListBullet"/>
        <w:spacing w:after="40"/>
        <w:ind w:left="259"/>
      </w:pPr>
      <w:r>
        <w:t>Fournir au Validateur les Evidence, le Claim et le VerificationResult.</w:t>
      </w:r>
    </w:p>
    <w:p>
      <w:pPr>
        <w:pStyle w:val="ListBullet"/>
        <w:spacing w:after="40"/>
        <w:ind w:left="259"/>
      </w:pPr>
      <w:r>
        <w:t>Bloquer les chiffres, faits ou conclusions absents des preuves.</w:t>
      </w:r>
    </w:p>
    <w:p>
      <w:pPr>
        <w:pStyle w:val="ListBullet"/>
        <w:spacing w:after="40"/>
        <w:ind w:left="259"/>
      </w:pPr>
      <w:r>
        <w:t>Interdire une décision finale fondée uniquement sur une sortie LLM.</w:t>
      </w:r>
    </w:p>
    <w:p>
      <w:pPr>
        <w:pStyle w:val="ListBullet"/>
        <w:spacing w:after="40"/>
        <w:ind w:left="259"/>
      </w:pPr>
      <w:r>
        <w:t>Ajouter un statut INSUFFICIENT_EVIDENCE lorsque les preuves ne suffisent pas.</w:t>
      </w:r>
    </w:p>
    <w:p>
      <w:pPr>
        <w:spacing w:before="60"/>
      </w:pPr>
      <w:r>
        <w:rPr>
          <w:b/>
          <w:color w:val="1F4E79"/>
        </w:rPr>
        <w:t>Critères d'acceptation</w:t>
      </w:r>
    </w:p>
    <w:p>
      <w:pPr>
        <w:pStyle w:val="ListBullet"/>
        <w:spacing w:after="40"/>
        <w:ind w:left="259"/>
      </w:pPr>
      <w:r>
        <w:t>Un Claim non référencé est bloqué.</w:t>
      </w:r>
    </w:p>
    <w:p>
      <w:pPr>
        <w:pStyle w:val="ListBullet"/>
        <w:spacing w:after="40"/>
        <w:ind w:left="259"/>
      </w:pPr>
      <w:r>
        <w:t>Une citation incompatible avec l’Evidence est rejetée.</w:t>
      </w:r>
    </w:p>
    <w:p>
      <w:pPr>
        <w:pStyle w:val="ListBullet"/>
        <w:spacing w:after="40"/>
        <w:ind w:left="259"/>
      </w:pPr>
      <w:r>
        <w:t>SUPPORTED exige au moins une preuve favorable valide.</w:t>
      </w:r>
    </w:p>
    <w:p>
      <w:pPr>
        <w:pStyle w:val="ListBullet"/>
        <w:spacing w:after="40"/>
        <w:ind w:left="259"/>
      </w:pPr>
      <w:r>
        <w:t>Les contradictions sont visibles dans la décision finale.</w:t>
      </w:r>
    </w:p>
    <w:p>
      <w:pPr>
        <w:spacing w:before="60"/>
      </w:pPr>
      <w:r>
        <w:rPr>
          <w:b/>
          <w:color w:val="1F4E79"/>
        </w:rPr>
        <w:t>Preuves attendues</w:t>
      </w:r>
    </w:p>
    <w:p>
      <w:pPr>
        <w:pStyle w:val="ListBullet"/>
        <w:spacing w:after="40"/>
        <w:ind w:left="259"/>
      </w:pPr>
      <w:r>
        <w:t>Cas de test hallucination en cascade</w:t>
      </w:r>
    </w:p>
    <w:p>
      <w:pPr>
        <w:pStyle w:val="ListBullet"/>
        <w:spacing w:after="40"/>
        <w:ind w:left="259"/>
      </w:pPr>
      <w:r>
        <w:t>Rapport de désaccord Générateur/Vérificateur</w:t>
      </w:r>
    </w:p>
    <w:p>
      <w:pPr>
        <w:pStyle w:val="ListBullet"/>
        <w:spacing w:after="40"/>
        <w:ind w:left="259"/>
      </w:pPr>
      <w:r>
        <w:t>Exemples de décisions avec Evidence insuffisante</w:t>
      </w:r>
    </w:p>
    <w:p>
      <w:pPr>
        <w:pStyle w:val="Heading2"/>
        <w:keepNext/>
      </w:pPr>
      <w:r>
        <w:t>5. Protection des objectifs, prompts et versions</w:t>
      </w:r>
    </w:p>
    <w:tbl>
      <w:tblPr>
        <w:tblW w:type="auto" w:w="0"/>
        <w:jc w:val="center"/>
        <w:tblLayout w:type="fixed"/>
        <w:tblLook w:firstColumn="1" w:firstRow="1" w:lastColumn="0" w:lastRow="0" w:noHBand="0" w:noVBand="1" w:val="04A0"/>
      </w:tblPr>
      <w:tblGrid>
        <w:gridCol w:w="2232"/>
        <w:gridCol w:w="8568"/>
      </w:tblGrid>
      <w:tr>
        <w:trPr>
          <w:cantSplit/>
          <w:tblHeader w:val="true"/>
          <w:cantSplit/>
        </w:trPr>
        <w:tc>
          <w:tcPr>
            <w:tcW w:type="dxa" w:w="5040"/>
            <w:shd w:fill="D9EAF7"/>
            <w:vAlign w:val="center"/>
            <w:tcBorders>
              <w:top w:val="single" w:sz="4" w:color="B4C7E7"/>
              <w:left w:val="single" w:sz="4" w:color="B4C7E7"/>
              <w:bottom w:val="single" w:sz="4" w:color="B4C7E7"/>
              <w:right w:val="single" w:sz="4" w:color="B4C7E7"/>
            </w:tcBorders>
          </w:tcPr>
          <w:p>
            <w:pPr>
              <w:spacing w:after="40"/>
            </w:pPr>
            <w:r>
              <w:rPr>
                <w:b/>
                <w:color w:val="1F4E79"/>
                <w:sz w:val="18"/>
              </w:rPr>
              <w:t>Priorité</w:t>
            </w:r>
          </w:p>
        </w:tc>
        <w:tc>
          <w:tcPr>
            <w:tcW w:type="dxa" w:w="5040"/>
            <w:vAlign w:val="center"/>
            <w:tcBorders>
              <w:top w:val="single" w:sz="4" w:color="B4C7E7"/>
              <w:left w:val="single" w:sz="4" w:color="B4C7E7"/>
              <w:bottom w:val="single" w:sz="4" w:color="B4C7E7"/>
              <w:right w:val="single" w:sz="4" w:color="B4C7E7"/>
            </w:tcBorders>
          </w:tcPr>
          <w:p>
            <w:pPr>
              <w:spacing w:after="40"/>
            </w:pPr>
            <w:r>
              <w:rPr>
                <w:sz w:val="18"/>
              </w:rPr>
              <w:t>P0</w:t>
            </w:r>
          </w:p>
        </w:tc>
      </w:tr>
      <w:tr>
        <w:trPr>
          <w:cantSplit/>
          <w:cantSplit/>
        </w:trPr>
        <w:tc>
          <w:tcPr>
            <w:tcW w:type="dxa" w:w="5040"/>
            <w:shd w:fill="D9EAF7"/>
            <w:vAlign w:val="center"/>
            <w:tcBorders>
              <w:top w:val="single" w:sz="4" w:color="B4C7E7"/>
              <w:left w:val="single" w:sz="4" w:color="B4C7E7"/>
              <w:bottom w:val="single" w:sz="4" w:color="B4C7E7"/>
              <w:right w:val="single" w:sz="4" w:color="B4C7E7"/>
            </w:tcBorders>
          </w:tcPr>
          <w:p>
            <w:pPr>
              <w:spacing w:after="40"/>
            </w:pPr>
            <w:r>
              <w:rPr>
                <w:b/>
                <w:color w:val="1F4E79"/>
                <w:sz w:val="18"/>
              </w:rPr>
              <w:t>Objectif</w:t>
            </w:r>
          </w:p>
        </w:tc>
        <w:tc>
          <w:tcPr>
            <w:tcW w:type="dxa" w:w="5040"/>
            <w:vAlign w:val="center"/>
            <w:tcBorders>
              <w:top w:val="single" w:sz="4" w:color="B4C7E7"/>
              <w:left w:val="single" w:sz="4" w:color="B4C7E7"/>
              <w:bottom w:val="single" w:sz="4" w:color="B4C7E7"/>
              <w:right w:val="single" w:sz="4" w:color="B4C7E7"/>
            </w:tcBorders>
          </w:tcPr>
          <w:p>
            <w:pPr>
              <w:spacing w:after="40"/>
            </w:pPr>
            <w:r>
              <w:rPr>
                <w:sz w:val="18"/>
              </w:rPr>
              <w:t>Empêcher une Evidence ou une demande utilisateur de modifier les règles de sécurité, le scoring ou le rôle d’un agent.</w:t>
            </w:r>
          </w:p>
        </w:tc>
      </w:tr>
      <w:tr>
        <w:trPr>
          <w:cantSplit/>
          <w:cantSplit/>
        </w:trPr>
        <w:tc>
          <w:tcPr>
            <w:tcW w:type="dxa" w:w="5040"/>
            <w:shd w:fill="D9EAF7"/>
            <w:vAlign w:val="center"/>
            <w:tcBorders>
              <w:top w:val="single" w:sz="4" w:color="B4C7E7"/>
              <w:left w:val="single" w:sz="4" w:color="B4C7E7"/>
              <w:bottom w:val="single" w:sz="4" w:color="B4C7E7"/>
              <w:right w:val="single" w:sz="4" w:color="B4C7E7"/>
            </w:tcBorders>
          </w:tcPr>
          <w:p>
            <w:pPr>
              <w:spacing w:after="40"/>
            </w:pPr>
            <w:r>
              <w:rPr>
                <w:b/>
                <w:color w:val="1F4E79"/>
                <w:sz w:val="18"/>
              </w:rPr>
              <w:t>État actuel</w:t>
            </w:r>
          </w:p>
        </w:tc>
        <w:tc>
          <w:tcPr>
            <w:tcW w:type="dxa" w:w="5040"/>
            <w:vAlign w:val="center"/>
            <w:tcBorders>
              <w:top w:val="single" w:sz="4" w:color="B4C7E7"/>
              <w:left w:val="single" w:sz="4" w:color="B4C7E7"/>
              <w:bottom w:val="single" w:sz="4" w:color="B4C7E7"/>
              <w:right w:val="single" w:sz="4" w:color="B4C7E7"/>
            </w:tcBorders>
          </w:tcPr>
          <w:p>
            <w:pPr>
              <w:spacing w:after="40"/>
            </w:pPr>
            <w:r>
              <w:rPr>
                <w:sz w:val="18"/>
              </w:rPr>
              <w:t>La détection d’injection est prévue, mais les priorités d’instructions et la version des prompts doivent être explicites.</w:t>
            </w:r>
          </w:p>
        </w:tc>
      </w:tr>
    </w:tbl>
    <w:p>
      <w:pPr>
        <w:spacing w:before="80"/>
      </w:pPr>
      <w:r>
        <w:rPr>
          <w:b/>
          <w:color w:val="1F4E79"/>
        </w:rPr>
        <w:t>Travaux à réaliser</w:t>
      </w:r>
    </w:p>
    <w:p>
      <w:pPr>
        <w:pStyle w:val="ListBullet"/>
        <w:spacing w:after="40"/>
        <w:ind w:left="259"/>
      </w:pPr>
      <w:r>
        <w:t>Séparer la politique système, les instructions de workflow, la demande CISO et le contenu des Evidence.</w:t>
      </w:r>
    </w:p>
    <w:p>
      <w:pPr>
        <w:pStyle w:val="ListBullet"/>
        <w:spacing w:after="40"/>
        <w:ind w:left="259"/>
      </w:pPr>
      <w:r>
        <w:t>Traiter toute Evidence comme donnée non fiable et jamais comme instruction.</w:t>
      </w:r>
    </w:p>
    <w:p>
      <w:pPr>
        <w:pStyle w:val="ListBullet"/>
        <w:spacing w:after="40"/>
        <w:ind w:left="259"/>
      </w:pPr>
      <w:r>
        <w:t>Versionner prompts système, schémas, politiques et scoring.</w:t>
      </w:r>
    </w:p>
    <w:p>
      <w:pPr>
        <w:pStyle w:val="ListBullet"/>
        <w:spacing w:after="40"/>
        <w:ind w:left="259"/>
      </w:pPr>
      <w:r>
        <w:t>Signer ou hacher les fichiers de configuration critiques.</w:t>
      </w:r>
    </w:p>
    <w:p>
      <w:pPr>
        <w:pStyle w:val="ListBullet"/>
        <w:spacing w:after="40"/>
        <w:ind w:left="259"/>
      </w:pPr>
      <w:r>
        <w:t>Bloquer toute modification dynamique des objectifs pendant un run.</w:t>
      </w:r>
    </w:p>
    <w:p>
      <w:pPr>
        <w:spacing w:before="60"/>
      </w:pPr>
      <w:r>
        <w:rPr>
          <w:b/>
          <w:color w:val="1F4E79"/>
        </w:rPr>
        <w:t>Critères d'acceptation</w:t>
      </w:r>
    </w:p>
    <w:p>
      <w:pPr>
        <w:pStyle w:val="ListBullet"/>
        <w:spacing w:after="40"/>
        <w:ind w:left="259"/>
      </w:pPr>
      <w:r>
        <w:t>Une Evidence contenant « ignore les règles » n’influence pas le workflow.</w:t>
      </w:r>
    </w:p>
    <w:p>
      <w:pPr>
        <w:pStyle w:val="ListBullet"/>
        <w:spacing w:after="40"/>
        <w:ind w:left="259"/>
      </w:pPr>
      <w:r>
        <w:t>Chaque run indique prompt_version, policy_version, scoring_version et schema_version.</w:t>
      </w:r>
    </w:p>
    <w:p>
      <w:pPr>
        <w:pStyle w:val="ListBullet"/>
        <w:spacing w:after="40"/>
        <w:ind w:left="259"/>
      </w:pPr>
      <w:r>
        <w:t>Une modification non autorisée de configuration est détectée.</w:t>
      </w:r>
    </w:p>
    <w:p>
      <w:pPr>
        <w:pStyle w:val="ListBullet"/>
        <w:spacing w:after="40"/>
        <w:ind w:left="259"/>
      </w:pPr>
      <w:r>
        <w:t>Le CISO peut identifier la version ayant produit une décision.</w:t>
      </w:r>
    </w:p>
    <w:p>
      <w:pPr>
        <w:spacing w:before="60"/>
      </w:pPr>
      <w:r>
        <w:rPr>
          <w:b/>
          <w:color w:val="1F4E79"/>
        </w:rPr>
        <w:t>Preuves attendues</w:t>
      </w:r>
    </w:p>
    <w:p>
      <w:pPr>
        <w:pStyle w:val="ListBullet"/>
        <w:spacing w:after="40"/>
        <w:ind w:left="259"/>
      </w:pPr>
      <w:r>
        <w:t>Registre des versions</w:t>
      </w:r>
    </w:p>
    <w:p>
      <w:pPr>
        <w:pStyle w:val="ListBullet"/>
        <w:spacing w:after="40"/>
        <w:ind w:left="259"/>
      </w:pPr>
      <w:r>
        <w:t>Tests d’injection indirecte</w:t>
      </w:r>
    </w:p>
    <w:p>
      <w:pPr>
        <w:pStyle w:val="ListBullet"/>
        <w:spacing w:after="40"/>
        <w:ind w:left="259"/>
      </w:pPr>
      <w:r>
        <w:t>Hashes des configurations critiques</w:t>
      </w:r>
    </w:p>
    <w:p>
      <w:pPr>
        <w:pStyle w:val="Heading2"/>
        <w:keepNext/>
      </w:pPr>
      <w:r>
        <w:t>6. Budgets, quotas et limites de concurrence</w:t>
      </w:r>
    </w:p>
    <w:tbl>
      <w:tblPr>
        <w:tblW w:type="auto" w:w="0"/>
        <w:jc w:val="center"/>
        <w:tblLayout w:type="fixed"/>
        <w:tblLook w:firstColumn="1" w:firstRow="1" w:lastColumn="0" w:lastRow="0" w:noHBand="0" w:noVBand="1" w:val="04A0"/>
      </w:tblPr>
      <w:tblGrid>
        <w:gridCol w:w="2232"/>
        <w:gridCol w:w="8568"/>
      </w:tblGrid>
      <w:tr>
        <w:trPr>
          <w:cantSplit/>
          <w:tblHeader w:val="true"/>
          <w:cantSplit/>
        </w:trPr>
        <w:tc>
          <w:tcPr>
            <w:tcW w:type="dxa" w:w="5040"/>
            <w:shd w:fill="D9EAF7"/>
            <w:vAlign w:val="center"/>
            <w:tcBorders>
              <w:top w:val="single" w:sz="4" w:color="B4C7E7"/>
              <w:left w:val="single" w:sz="4" w:color="B4C7E7"/>
              <w:bottom w:val="single" w:sz="4" w:color="B4C7E7"/>
              <w:right w:val="single" w:sz="4" w:color="B4C7E7"/>
            </w:tcBorders>
          </w:tcPr>
          <w:p>
            <w:pPr>
              <w:spacing w:after="40"/>
            </w:pPr>
            <w:r>
              <w:rPr>
                <w:b/>
                <w:color w:val="1F4E79"/>
                <w:sz w:val="18"/>
              </w:rPr>
              <w:t>Priorité</w:t>
            </w:r>
          </w:p>
        </w:tc>
        <w:tc>
          <w:tcPr>
            <w:tcW w:type="dxa" w:w="5040"/>
            <w:vAlign w:val="center"/>
            <w:tcBorders>
              <w:top w:val="single" w:sz="4" w:color="B4C7E7"/>
              <w:left w:val="single" w:sz="4" w:color="B4C7E7"/>
              <w:bottom w:val="single" w:sz="4" w:color="B4C7E7"/>
              <w:right w:val="single" w:sz="4" w:color="B4C7E7"/>
            </w:tcBorders>
          </w:tcPr>
          <w:p>
            <w:pPr>
              <w:spacing w:after="40"/>
            </w:pPr>
            <w:r>
              <w:rPr>
                <w:sz w:val="18"/>
              </w:rPr>
              <w:t>P0</w:t>
            </w:r>
          </w:p>
        </w:tc>
      </w:tr>
      <w:tr>
        <w:trPr>
          <w:cantSplit/>
          <w:cantSplit/>
        </w:trPr>
        <w:tc>
          <w:tcPr>
            <w:tcW w:type="dxa" w:w="5040"/>
            <w:shd w:fill="D9EAF7"/>
            <w:vAlign w:val="center"/>
            <w:tcBorders>
              <w:top w:val="single" w:sz="4" w:color="B4C7E7"/>
              <w:left w:val="single" w:sz="4" w:color="B4C7E7"/>
              <w:bottom w:val="single" w:sz="4" w:color="B4C7E7"/>
              <w:right w:val="single" w:sz="4" w:color="B4C7E7"/>
            </w:tcBorders>
          </w:tcPr>
          <w:p>
            <w:pPr>
              <w:spacing w:after="40"/>
            </w:pPr>
            <w:r>
              <w:rPr>
                <w:b/>
                <w:color w:val="1F4E79"/>
                <w:sz w:val="18"/>
              </w:rPr>
              <w:t>Objectif</w:t>
            </w:r>
          </w:p>
        </w:tc>
        <w:tc>
          <w:tcPr>
            <w:tcW w:type="dxa" w:w="5040"/>
            <w:vAlign w:val="center"/>
            <w:tcBorders>
              <w:top w:val="single" w:sz="4" w:color="B4C7E7"/>
              <w:left w:val="single" w:sz="4" w:color="B4C7E7"/>
              <w:bottom w:val="single" w:sz="4" w:color="B4C7E7"/>
              <w:right w:val="single" w:sz="4" w:color="B4C7E7"/>
            </w:tcBorders>
          </w:tcPr>
          <w:p>
            <w:pPr>
              <w:spacing w:after="40"/>
            </w:pPr>
            <w:r>
              <w:rPr>
                <w:sz w:val="18"/>
              </w:rPr>
              <w:t>Prévenir la surcharge, les boucles, les coûts incontrôlés et les indisponibilités.</w:t>
            </w:r>
          </w:p>
        </w:tc>
      </w:tr>
      <w:tr>
        <w:trPr>
          <w:cantSplit/>
          <w:cantSplit/>
        </w:trPr>
        <w:tc>
          <w:tcPr>
            <w:tcW w:type="dxa" w:w="5040"/>
            <w:shd w:fill="D9EAF7"/>
            <w:vAlign w:val="center"/>
            <w:tcBorders>
              <w:top w:val="single" w:sz="4" w:color="B4C7E7"/>
              <w:left w:val="single" w:sz="4" w:color="B4C7E7"/>
              <w:bottom w:val="single" w:sz="4" w:color="B4C7E7"/>
              <w:right w:val="single" w:sz="4" w:color="B4C7E7"/>
            </w:tcBorders>
          </w:tcPr>
          <w:p>
            <w:pPr>
              <w:spacing w:after="40"/>
            </w:pPr>
            <w:r>
              <w:rPr>
                <w:b/>
                <w:color w:val="1F4E79"/>
                <w:sz w:val="18"/>
              </w:rPr>
              <w:t>État actuel</w:t>
            </w:r>
          </w:p>
        </w:tc>
        <w:tc>
          <w:tcPr>
            <w:tcW w:type="dxa" w:w="5040"/>
            <w:vAlign w:val="center"/>
            <w:tcBorders>
              <w:top w:val="single" w:sz="4" w:color="B4C7E7"/>
              <w:left w:val="single" w:sz="4" w:color="B4C7E7"/>
              <w:bottom w:val="single" w:sz="4" w:color="B4C7E7"/>
              <w:right w:val="single" w:sz="4" w:color="B4C7E7"/>
            </w:tcBorders>
          </w:tcPr>
          <w:p>
            <w:pPr>
              <w:spacing w:after="40"/>
            </w:pPr>
            <w:r>
              <w:rPr>
                <w:sz w:val="18"/>
              </w:rPr>
              <w:t>Des timeouts et tentatives existent ; il reste à ajouter des budgets globaux par exécution et par rôle.</w:t>
            </w:r>
          </w:p>
        </w:tc>
      </w:tr>
    </w:tbl>
    <w:p>
      <w:pPr>
        <w:spacing w:before="80"/>
      </w:pPr>
      <w:r>
        <w:rPr>
          <w:b/>
          <w:color w:val="1F4E79"/>
        </w:rPr>
        <w:t>Travaux à réaliser</w:t>
      </w:r>
    </w:p>
    <w:p>
      <w:pPr>
        <w:pStyle w:val="ListBullet"/>
        <w:spacing w:after="40"/>
        <w:ind w:left="259"/>
      </w:pPr>
      <w:r>
        <w:t>Limiter le nombre total d’appels LLM par run et par rôle.</w:t>
      </w:r>
    </w:p>
    <w:p>
      <w:pPr>
        <w:pStyle w:val="ListBullet"/>
        <w:spacing w:after="40"/>
        <w:ind w:left="259"/>
      </w:pPr>
      <w:r>
        <w:t>Limiter les tokens d’entrée et de sortie, la taille des contrats et le nombre de Claims.</w:t>
      </w:r>
    </w:p>
    <w:p>
      <w:pPr>
        <w:pStyle w:val="ListBullet"/>
        <w:spacing w:after="40"/>
        <w:ind w:left="259"/>
      </w:pPr>
      <w:r>
        <w:t>Limiter la durée globale et le nombre de runs simultanés.</w:t>
      </w:r>
    </w:p>
    <w:p>
      <w:pPr>
        <w:pStyle w:val="ListBullet"/>
        <w:spacing w:after="40"/>
        <w:ind w:left="259"/>
      </w:pPr>
      <w:r>
        <w:t>Ajouter des compteurs atomiques dans le RunContext.</w:t>
      </w:r>
    </w:p>
    <w:p>
      <w:pPr>
        <w:pStyle w:val="ListBullet"/>
        <w:spacing w:after="40"/>
        <w:ind w:left="259"/>
      </w:pPr>
      <w:r>
        <w:t>Arrêter proprement le workflow lorsque la limite est atteinte.</w:t>
      </w:r>
    </w:p>
    <w:p>
      <w:pPr>
        <w:spacing w:before="60"/>
      </w:pPr>
      <w:r>
        <w:rPr>
          <w:b/>
          <w:color w:val="1F4E79"/>
        </w:rPr>
        <w:t>Critères d'acceptation</w:t>
      </w:r>
    </w:p>
    <w:p>
      <w:pPr>
        <w:pStyle w:val="ListBullet"/>
        <w:spacing w:after="40"/>
        <w:ind w:left="259"/>
      </w:pPr>
      <w:r>
        <w:t>Le dépassement d’une limite génère un code d’erreur explicite.</w:t>
      </w:r>
    </w:p>
    <w:p>
      <w:pPr>
        <w:pStyle w:val="ListBullet"/>
        <w:spacing w:after="40"/>
        <w:ind w:left="259"/>
      </w:pPr>
      <w:r>
        <w:t>Aucun dépassement ne provoque une boucle ou une exécution partielle non tracée.</w:t>
      </w:r>
    </w:p>
    <w:p>
      <w:pPr>
        <w:pStyle w:val="ListBullet"/>
        <w:spacing w:after="40"/>
        <w:ind w:left="259"/>
      </w:pPr>
      <w:r>
        <w:t>Les limites sont configurables sans modifier le code.</w:t>
      </w:r>
    </w:p>
    <w:p>
      <w:pPr>
        <w:pStyle w:val="ListBullet"/>
        <w:spacing w:after="40"/>
        <w:ind w:left="259"/>
      </w:pPr>
      <w:r>
        <w:t>Les métriques de consommation sont visibles dans le tableau de bord.</w:t>
      </w:r>
    </w:p>
    <w:p>
      <w:pPr>
        <w:spacing w:before="60"/>
      </w:pPr>
      <w:r>
        <w:rPr>
          <w:b/>
          <w:color w:val="1F4E79"/>
        </w:rPr>
        <w:t>Preuves attendues</w:t>
      </w:r>
    </w:p>
    <w:p>
      <w:pPr>
        <w:pStyle w:val="ListBullet"/>
        <w:spacing w:after="40"/>
        <w:ind w:left="259"/>
      </w:pPr>
      <w:r>
        <w:t>Configuration des budgets</w:t>
      </w:r>
    </w:p>
    <w:p>
      <w:pPr>
        <w:pStyle w:val="ListBullet"/>
        <w:spacing w:after="40"/>
        <w:ind w:left="259"/>
      </w:pPr>
      <w:r>
        <w:t>Tests MAX_LLM_CALLS, TOKEN_BUDGET et GLOBAL_TIMEOUT</w:t>
      </w:r>
    </w:p>
    <w:p>
      <w:pPr>
        <w:pStyle w:val="ListBullet"/>
        <w:spacing w:after="40"/>
        <w:ind w:left="259"/>
      </w:pPr>
      <w:r>
        <w:t>Tableau de métriques</w:t>
      </w:r>
    </w:p>
    <w:p>
      <w:pPr>
        <w:pStyle w:val="Heading2"/>
        <w:keepNext/>
      </w:pPr>
      <w:r>
        <w:t>7. Kill switch et circuit breaker</w:t>
      </w:r>
    </w:p>
    <w:tbl>
      <w:tblPr>
        <w:tblW w:type="auto" w:w="0"/>
        <w:jc w:val="center"/>
        <w:tblLayout w:type="fixed"/>
        <w:tblLook w:firstColumn="1" w:firstRow="1" w:lastColumn="0" w:lastRow="0" w:noHBand="0" w:noVBand="1" w:val="04A0"/>
      </w:tblPr>
      <w:tblGrid>
        <w:gridCol w:w="2232"/>
        <w:gridCol w:w="8568"/>
      </w:tblGrid>
      <w:tr>
        <w:trPr>
          <w:cantSplit/>
          <w:tblHeader w:val="true"/>
          <w:cantSplit/>
        </w:trPr>
        <w:tc>
          <w:tcPr>
            <w:tcW w:type="dxa" w:w="5040"/>
            <w:shd w:fill="D9EAF7"/>
            <w:vAlign w:val="center"/>
            <w:tcBorders>
              <w:top w:val="single" w:sz="4" w:color="B4C7E7"/>
              <w:left w:val="single" w:sz="4" w:color="B4C7E7"/>
              <w:bottom w:val="single" w:sz="4" w:color="B4C7E7"/>
              <w:right w:val="single" w:sz="4" w:color="B4C7E7"/>
            </w:tcBorders>
          </w:tcPr>
          <w:p>
            <w:pPr>
              <w:spacing w:after="40"/>
            </w:pPr>
            <w:r>
              <w:rPr>
                <w:b/>
                <w:color w:val="1F4E79"/>
                <w:sz w:val="18"/>
              </w:rPr>
              <w:t>Priorité</w:t>
            </w:r>
          </w:p>
        </w:tc>
        <w:tc>
          <w:tcPr>
            <w:tcW w:type="dxa" w:w="5040"/>
            <w:vAlign w:val="center"/>
            <w:tcBorders>
              <w:top w:val="single" w:sz="4" w:color="B4C7E7"/>
              <w:left w:val="single" w:sz="4" w:color="B4C7E7"/>
              <w:bottom w:val="single" w:sz="4" w:color="B4C7E7"/>
              <w:right w:val="single" w:sz="4" w:color="B4C7E7"/>
            </w:tcBorders>
          </w:tcPr>
          <w:p>
            <w:pPr>
              <w:spacing w:after="40"/>
            </w:pPr>
            <w:r>
              <w:rPr>
                <w:sz w:val="18"/>
              </w:rPr>
              <w:t>P0/P1</w:t>
            </w:r>
          </w:p>
        </w:tc>
      </w:tr>
      <w:tr>
        <w:trPr>
          <w:cantSplit/>
          <w:cantSplit/>
        </w:trPr>
        <w:tc>
          <w:tcPr>
            <w:tcW w:type="dxa" w:w="5040"/>
            <w:shd w:fill="D9EAF7"/>
            <w:vAlign w:val="center"/>
            <w:tcBorders>
              <w:top w:val="single" w:sz="4" w:color="B4C7E7"/>
              <w:left w:val="single" w:sz="4" w:color="B4C7E7"/>
              <w:bottom w:val="single" w:sz="4" w:color="B4C7E7"/>
              <w:right w:val="single" w:sz="4" w:color="B4C7E7"/>
            </w:tcBorders>
          </w:tcPr>
          <w:p>
            <w:pPr>
              <w:spacing w:after="40"/>
            </w:pPr>
            <w:r>
              <w:rPr>
                <w:b/>
                <w:color w:val="1F4E79"/>
                <w:sz w:val="18"/>
              </w:rPr>
              <w:t>Objectif</w:t>
            </w:r>
          </w:p>
        </w:tc>
        <w:tc>
          <w:tcPr>
            <w:tcW w:type="dxa" w:w="5040"/>
            <w:vAlign w:val="center"/>
            <w:tcBorders>
              <w:top w:val="single" w:sz="4" w:color="B4C7E7"/>
              <w:left w:val="single" w:sz="4" w:color="B4C7E7"/>
              <w:bottom w:val="single" w:sz="4" w:color="B4C7E7"/>
              <w:right w:val="single" w:sz="4" w:color="B4C7E7"/>
            </w:tcBorders>
          </w:tcPr>
          <w:p>
            <w:pPr>
              <w:spacing w:after="40"/>
            </w:pPr>
            <w:r>
              <w:rPr>
                <w:sz w:val="18"/>
              </w:rPr>
              <w:t>Permettre l’arrêt rapide d’un run, d’un agent ou du système en cas de comportement anormal.</w:t>
            </w:r>
          </w:p>
        </w:tc>
      </w:tr>
      <w:tr>
        <w:trPr>
          <w:cantSplit/>
          <w:cantSplit/>
        </w:trPr>
        <w:tc>
          <w:tcPr>
            <w:tcW w:type="dxa" w:w="5040"/>
            <w:shd w:fill="D9EAF7"/>
            <w:vAlign w:val="center"/>
            <w:tcBorders>
              <w:top w:val="single" w:sz="4" w:color="B4C7E7"/>
              <w:left w:val="single" w:sz="4" w:color="B4C7E7"/>
              <w:bottom w:val="single" w:sz="4" w:color="B4C7E7"/>
              <w:right w:val="single" w:sz="4" w:color="B4C7E7"/>
            </w:tcBorders>
          </w:tcPr>
          <w:p>
            <w:pPr>
              <w:spacing w:after="40"/>
            </w:pPr>
            <w:r>
              <w:rPr>
                <w:b/>
                <w:color w:val="1F4E79"/>
                <w:sz w:val="18"/>
              </w:rPr>
              <w:t>État actuel</w:t>
            </w:r>
          </w:p>
        </w:tc>
        <w:tc>
          <w:tcPr>
            <w:tcW w:type="dxa" w:w="5040"/>
            <w:vAlign w:val="center"/>
            <w:tcBorders>
              <w:top w:val="single" w:sz="4" w:color="B4C7E7"/>
              <w:left w:val="single" w:sz="4" w:color="B4C7E7"/>
              <w:bottom w:val="single" w:sz="4" w:color="B4C7E7"/>
              <w:right w:val="single" w:sz="4" w:color="B4C7E7"/>
            </w:tcBorders>
          </w:tcPr>
          <w:p>
            <w:pPr>
              <w:spacing w:after="40"/>
            </w:pPr>
            <w:r>
              <w:rPr>
                <w:sz w:val="18"/>
              </w:rPr>
              <w:t>Les erreurs bloquantes existent, mais le mécanisme opérationnel d’arrêt humain et la désactivation automatique d’un rôle restent à formaliser.</w:t>
            </w:r>
          </w:p>
        </w:tc>
      </w:tr>
    </w:tbl>
    <w:p>
      <w:pPr>
        <w:spacing w:before="80"/>
      </w:pPr>
      <w:r>
        <w:rPr>
          <w:b/>
          <w:color w:val="1F4E79"/>
        </w:rPr>
        <w:t>Travaux à réaliser</w:t>
      </w:r>
    </w:p>
    <w:p>
      <w:pPr>
        <w:pStyle w:val="ListBullet"/>
        <w:spacing w:after="40"/>
        <w:ind w:left="259"/>
      </w:pPr>
      <w:r>
        <w:t>Ajouter un endpoint d’annulation par run pour la démonstration.</w:t>
      </w:r>
    </w:p>
    <w:p>
      <w:pPr>
        <w:pStyle w:val="ListBullet"/>
        <w:spacing w:after="40"/>
        <w:ind w:left="259"/>
      </w:pPr>
      <w:r>
        <w:t>Ajouter un arrêt global et une désactivation par rôle avant le pilote corporatif.</w:t>
      </w:r>
    </w:p>
    <w:p>
      <w:pPr>
        <w:pStyle w:val="ListBullet"/>
        <w:spacing w:after="40"/>
        <w:ind w:left="259"/>
      </w:pPr>
      <w:r>
        <w:t>Définir un circuit breaker sur les timeouts, sorties invalides et violations répétées.</w:t>
      </w:r>
    </w:p>
    <w:p>
      <w:pPr>
        <w:pStyle w:val="ListBullet"/>
        <w:spacing w:after="40"/>
        <w:ind w:left="259"/>
      </w:pPr>
      <w:r>
        <w:t>Journaliser qui a déclenché l’arrêt, pourquoi et à quel instant.</w:t>
      </w:r>
    </w:p>
    <w:p>
      <w:pPr>
        <w:pStyle w:val="ListBullet"/>
        <w:spacing w:after="40"/>
        <w:ind w:left="259"/>
      </w:pPr>
      <w:r>
        <w:t>Définir les conditions et l’autorisation de reprise.</w:t>
      </w:r>
    </w:p>
    <w:p>
      <w:pPr>
        <w:spacing w:before="60"/>
      </w:pPr>
      <w:r>
        <w:rPr>
          <w:b/>
          <w:color w:val="1F4E79"/>
        </w:rPr>
        <w:t>Critères d'acceptation</w:t>
      </w:r>
    </w:p>
    <w:p>
      <w:pPr>
        <w:pStyle w:val="ListBullet"/>
        <w:spacing w:after="40"/>
        <w:ind w:left="259"/>
      </w:pPr>
      <w:r>
        <w:t>Un run actif passe à CANCELLED sans produire de décision finale.</w:t>
      </w:r>
    </w:p>
    <w:p>
      <w:pPr>
        <w:pStyle w:val="ListBullet"/>
        <w:spacing w:after="40"/>
        <w:ind w:left="259"/>
      </w:pPr>
      <w:r>
        <w:t>Un agent désactivé ne reçoit plus de tâche.</w:t>
      </w:r>
    </w:p>
    <w:p>
      <w:pPr>
        <w:pStyle w:val="ListBullet"/>
        <w:spacing w:after="40"/>
        <w:ind w:left="259"/>
      </w:pPr>
      <w:r>
        <w:t>L’arrêt global bloque tout nouveau run.</w:t>
      </w:r>
    </w:p>
    <w:p>
      <w:pPr>
        <w:pStyle w:val="ListBullet"/>
        <w:spacing w:after="40"/>
        <w:ind w:left="259"/>
      </w:pPr>
      <w:r>
        <w:t>La reprise exige une action autorisée et journalisée.</w:t>
      </w:r>
    </w:p>
    <w:p>
      <w:pPr>
        <w:spacing w:before="60"/>
      </w:pPr>
      <w:r>
        <w:rPr>
          <w:b/>
          <w:color w:val="1F4E79"/>
        </w:rPr>
        <w:t>Preuves attendues</w:t>
      </w:r>
    </w:p>
    <w:p>
      <w:pPr>
        <w:pStyle w:val="ListBullet"/>
        <w:spacing w:after="40"/>
        <w:ind w:left="259"/>
      </w:pPr>
      <w:r>
        <w:t>Procédure d’arrêt d’urgence</w:t>
      </w:r>
    </w:p>
    <w:p>
      <w:pPr>
        <w:pStyle w:val="ListBullet"/>
        <w:spacing w:after="40"/>
        <w:ind w:left="259"/>
      </w:pPr>
      <w:r>
        <w:t>Tests d’annulation et circuit breaker</w:t>
      </w:r>
    </w:p>
    <w:p>
      <w:pPr>
        <w:pStyle w:val="ListBullet"/>
        <w:spacing w:after="40"/>
        <w:ind w:left="259"/>
      </w:pPr>
      <w:r>
        <w:t>Extraits de logs SYSTEM_HALTED et RESUMED</w:t>
      </w:r>
    </w:p>
    <w:p>
      <w:pPr>
        <w:pStyle w:val="Heading2"/>
        <w:keepNext/>
      </w:pPr>
      <w:r>
        <w:t>8. IAM distinct et gestion des secrets</w:t>
      </w:r>
    </w:p>
    <w:tbl>
      <w:tblPr>
        <w:tblW w:type="auto" w:w="0"/>
        <w:jc w:val="center"/>
        <w:tblLayout w:type="fixed"/>
        <w:tblLook w:firstColumn="1" w:firstRow="1" w:lastColumn="0" w:lastRow="0" w:noHBand="0" w:noVBand="1" w:val="04A0"/>
      </w:tblPr>
      <w:tblGrid>
        <w:gridCol w:w="2232"/>
        <w:gridCol w:w="8568"/>
      </w:tblGrid>
      <w:tr>
        <w:trPr>
          <w:cantSplit/>
          <w:tblHeader w:val="true"/>
          <w:cantSplit/>
        </w:trPr>
        <w:tc>
          <w:tcPr>
            <w:tcW w:type="dxa" w:w="5040"/>
            <w:shd w:fill="D9EAF7"/>
            <w:vAlign w:val="center"/>
            <w:tcBorders>
              <w:top w:val="single" w:sz="4" w:color="B4C7E7"/>
              <w:left w:val="single" w:sz="4" w:color="B4C7E7"/>
              <w:bottom w:val="single" w:sz="4" w:color="B4C7E7"/>
              <w:right w:val="single" w:sz="4" w:color="B4C7E7"/>
            </w:tcBorders>
          </w:tcPr>
          <w:p>
            <w:pPr>
              <w:spacing w:after="40"/>
            </w:pPr>
            <w:r>
              <w:rPr>
                <w:b/>
                <w:color w:val="1F4E79"/>
                <w:sz w:val="18"/>
              </w:rPr>
              <w:t>Priorité</w:t>
            </w:r>
          </w:p>
        </w:tc>
        <w:tc>
          <w:tcPr>
            <w:tcW w:type="dxa" w:w="5040"/>
            <w:vAlign w:val="center"/>
            <w:tcBorders>
              <w:top w:val="single" w:sz="4" w:color="B4C7E7"/>
              <w:left w:val="single" w:sz="4" w:color="B4C7E7"/>
              <w:bottom w:val="single" w:sz="4" w:color="B4C7E7"/>
              <w:right w:val="single" w:sz="4" w:color="B4C7E7"/>
            </w:tcBorders>
          </w:tcPr>
          <w:p>
            <w:pPr>
              <w:spacing w:after="40"/>
            </w:pPr>
            <w:r>
              <w:rPr>
                <w:sz w:val="18"/>
              </w:rPr>
              <w:t>P1</w:t>
            </w:r>
          </w:p>
        </w:tc>
      </w:tr>
      <w:tr>
        <w:trPr>
          <w:cantSplit/>
          <w:cantSplit/>
        </w:trPr>
        <w:tc>
          <w:tcPr>
            <w:tcW w:type="dxa" w:w="5040"/>
            <w:shd w:fill="D9EAF7"/>
            <w:vAlign w:val="center"/>
            <w:tcBorders>
              <w:top w:val="single" w:sz="4" w:color="B4C7E7"/>
              <w:left w:val="single" w:sz="4" w:color="B4C7E7"/>
              <w:bottom w:val="single" w:sz="4" w:color="B4C7E7"/>
              <w:right w:val="single" w:sz="4" w:color="B4C7E7"/>
            </w:tcBorders>
          </w:tcPr>
          <w:p>
            <w:pPr>
              <w:spacing w:after="40"/>
            </w:pPr>
            <w:r>
              <w:rPr>
                <w:b/>
                <w:color w:val="1F4E79"/>
                <w:sz w:val="18"/>
              </w:rPr>
              <w:t>Objectif</w:t>
            </w:r>
          </w:p>
        </w:tc>
        <w:tc>
          <w:tcPr>
            <w:tcW w:type="dxa" w:w="5040"/>
            <w:vAlign w:val="center"/>
            <w:tcBorders>
              <w:top w:val="single" w:sz="4" w:color="B4C7E7"/>
              <w:left w:val="single" w:sz="4" w:color="B4C7E7"/>
              <w:bottom w:val="single" w:sz="4" w:color="B4C7E7"/>
              <w:right w:val="single" w:sz="4" w:color="B4C7E7"/>
            </w:tcBorders>
          </w:tcPr>
          <w:p>
            <w:pPr>
              <w:spacing w:after="40"/>
            </w:pPr>
            <w:r>
              <w:rPr>
                <w:sz w:val="18"/>
              </w:rPr>
              <w:t>Éviter qu’une compromission d’un composant donne accès à l’ensemble du système.</w:t>
            </w:r>
          </w:p>
        </w:tc>
      </w:tr>
      <w:tr>
        <w:trPr>
          <w:cantSplit/>
          <w:cantSplit/>
        </w:trPr>
        <w:tc>
          <w:tcPr>
            <w:tcW w:type="dxa" w:w="5040"/>
            <w:shd w:fill="D9EAF7"/>
            <w:vAlign w:val="center"/>
            <w:tcBorders>
              <w:top w:val="single" w:sz="4" w:color="B4C7E7"/>
              <w:left w:val="single" w:sz="4" w:color="B4C7E7"/>
              <w:bottom w:val="single" w:sz="4" w:color="B4C7E7"/>
              <w:right w:val="single" w:sz="4" w:color="B4C7E7"/>
            </w:tcBorders>
          </w:tcPr>
          <w:p>
            <w:pPr>
              <w:spacing w:after="40"/>
            </w:pPr>
            <w:r>
              <w:rPr>
                <w:b/>
                <w:color w:val="1F4E79"/>
                <w:sz w:val="18"/>
              </w:rPr>
              <w:t>État actuel</w:t>
            </w:r>
          </w:p>
        </w:tc>
        <w:tc>
          <w:tcPr>
            <w:tcW w:type="dxa" w:w="5040"/>
            <w:vAlign w:val="center"/>
            <w:tcBorders>
              <w:top w:val="single" w:sz="4" w:color="B4C7E7"/>
              <w:left w:val="single" w:sz="4" w:color="B4C7E7"/>
              <w:bottom w:val="single" w:sz="4" w:color="B4C7E7"/>
              <w:right w:val="single" w:sz="4" w:color="B4C7E7"/>
            </w:tcBorders>
          </w:tcPr>
          <w:p>
            <w:pPr>
              <w:spacing w:after="40"/>
            </w:pPr>
            <w:r>
              <w:rPr>
                <w:sz w:val="18"/>
              </w:rPr>
              <w:t>Le principe du moindre privilège est défini, mais l’intégration corporative des identités, du coffre et de la rotation reste à réaliser.</w:t>
            </w:r>
          </w:p>
        </w:tc>
      </w:tr>
    </w:tbl>
    <w:p>
      <w:pPr>
        <w:spacing w:before="80"/>
      </w:pPr>
      <w:r>
        <w:rPr>
          <w:b/>
          <w:color w:val="1F4E79"/>
        </w:rPr>
        <w:t>Travaux à réaliser</w:t>
      </w:r>
    </w:p>
    <w:p>
      <w:pPr>
        <w:pStyle w:val="ListBullet"/>
        <w:spacing w:after="40"/>
        <w:ind w:left="259"/>
      </w:pPr>
      <w:r>
        <w:t>Créer des identités distinctes pour MCP, Générateur, Vérificateur, Validateur et tableau de bord.</w:t>
      </w:r>
    </w:p>
    <w:p>
      <w:pPr>
        <w:pStyle w:val="ListBullet"/>
        <w:spacing w:after="40"/>
        <w:ind w:left="259"/>
      </w:pPr>
      <w:r>
        <w:t>Stocker les secrets dans un coffre approuvé.</w:t>
      </w:r>
    </w:p>
    <w:p>
      <w:pPr>
        <w:pStyle w:val="ListBullet"/>
        <w:spacing w:after="40"/>
        <w:ind w:left="259"/>
      </w:pPr>
      <w:r>
        <w:t>Limiter chaque credential à un endpoint et une opération.</w:t>
      </w:r>
    </w:p>
    <w:p>
      <w:pPr>
        <w:pStyle w:val="ListBullet"/>
        <w:spacing w:after="40"/>
        <w:ind w:left="259"/>
      </w:pPr>
      <w:r>
        <w:t>Appliquer expiration, rotation et révocation.</w:t>
      </w:r>
    </w:p>
    <w:p>
      <w:pPr>
        <w:pStyle w:val="ListBullet"/>
        <w:spacing w:after="40"/>
        <w:ind w:left="259"/>
      </w:pPr>
      <w:r>
        <w:t>Valider l’autorisation à chaque appel, y compris interne.</w:t>
      </w:r>
    </w:p>
    <w:p>
      <w:pPr>
        <w:spacing w:before="60"/>
      </w:pPr>
      <w:r>
        <w:rPr>
          <w:b/>
          <w:color w:val="1F4E79"/>
        </w:rPr>
        <w:t>Critères d'acceptation</w:t>
      </w:r>
    </w:p>
    <w:p>
      <w:pPr>
        <w:pStyle w:val="ListBullet"/>
        <w:spacing w:after="40"/>
        <w:ind w:left="259"/>
      </w:pPr>
      <w:r>
        <w:t>Aucun token partagé entre les rôles.</w:t>
      </w:r>
    </w:p>
    <w:p>
      <w:pPr>
        <w:pStyle w:val="ListBullet"/>
        <w:spacing w:after="40"/>
        <w:ind w:left="259"/>
      </w:pPr>
      <w:r>
        <w:t>La révocation d’un credential bloque immédiatement l’accès.</w:t>
      </w:r>
    </w:p>
    <w:p>
      <w:pPr>
        <w:pStyle w:val="ListBullet"/>
        <w:spacing w:after="40"/>
        <w:ind w:left="259"/>
      </w:pPr>
      <w:r>
        <w:t>Les secrets ne figurent ni dans le code, ni dans les prompts, ni dans les logs.</w:t>
      </w:r>
    </w:p>
    <w:p>
      <w:pPr>
        <w:pStyle w:val="ListBullet"/>
        <w:spacing w:after="40"/>
        <w:ind w:left="259"/>
      </w:pPr>
      <w:r>
        <w:t>Une revue d’accès est documentée.</w:t>
      </w:r>
    </w:p>
    <w:p>
      <w:pPr>
        <w:spacing w:before="60"/>
      </w:pPr>
      <w:r>
        <w:rPr>
          <w:b/>
          <w:color w:val="1F4E79"/>
        </w:rPr>
        <w:t>Preuves attendues</w:t>
      </w:r>
    </w:p>
    <w:p>
      <w:pPr>
        <w:pStyle w:val="ListBullet"/>
        <w:spacing w:after="40"/>
        <w:ind w:left="259"/>
      </w:pPr>
      <w:r>
        <w:t>Matrice IAM</w:t>
      </w:r>
    </w:p>
    <w:p>
      <w:pPr>
        <w:pStyle w:val="ListBullet"/>
        <w:spacing w:after="40"/>
        <w:ind w:left="259"/>
      </w:pPr>
      <w:r>
        <w:t>Configuration du coffre</w:t>
      </w:r>
    </w:p>
    <w:p>
      <w:pPr>
        <w:pStyle w:val="ListBullet"/>
        <w:spacing w:after="40"/>
        <w:ind w:left="259"/>
      </w:pPr>
      <w:r>
        <w:t>Rapport de scan des secrets</w:t>
      </w:r>
    </w:p>
    <w:p>
      <w:pPr>
        <w:pStyle w:val="ListBullet"/>
        <w:spacing w:after="40"/>
        <w:ind w:left="259"/>
      </w:pPr>
      <w:r>
        <w:t>Test de révocation</w:t>
      </w:r>
    </w:p>
    <w:p>
      <w:pPr>
        <w:pStyle w:val="Heading2"/>
        <w:keepNext/>
      </w:pPr>
      <w:r>
        <w:t>9. Sécurisation des communications et intégrité des messages</w:t>
      </w:r>
    </w:p>
    <w:tbl>
      <w:tblPr>
        <w:tblW w:type="auto" w:w="0"/>
        <w:jc w:val="center"/>
        <w:tblLayout w:type="fixed"/>
        <w:tblLook w:firstColumn="1" w:firstRow="1" w:lastColumn="0" w:lastRow="0" w:noHBand="0" w:noVBand="1" w:val="04A0"/>
      </w:tblPr>
      <w:tblGrid>
        <w:gridCol w:w="2232"/>
        <w:gridCol w:w="8568"/>
      </w:tblGrid>
      <w:tr>
        <w:trPr>
          <w:cantSplit/>
          <w:tblHeader w:val="true"/>
          <w:cantSplit/>
        </w:trPr>
        <w:tc>
          <w:tcPr>
            <w:tcW w:type="dxa" w:w="5040"/>
            <w:shd w:fill="D9EAF7"/>
            <w:vAlign w:val="center"/>
            <w:tcBorders>
              <w:top w:val="single" w:sz="4" w:color="B4C7E7"/>
              <w:left w:val="single" w:sz="4" w:color="B4C7E7"/>
              <w:bottom w:val="single" w:sz="4" w:color="B4C7E7"/>
              <w:right w:val="single" w:sz="4" w:color="B4C7E7"/>
            </w:tcBorders>
          </w:tcPr>
          <w:p>
            <w:pPr>
              <w:spacing w:after="40"/>
            </w:pPr>
            <w:r>
              <w:rPr>
                <w:b/>
                <w:color w:val="1F4E79"/>
                <w:sz w:val="18"/>
              </w:rPr>
              <w:t>Priorité</w:t>
            </w:r>
          </w:p>
        </w:tc>
        <w:tc>
          <w:tcPr>
            <w:tcW w:type="dxa" w:w="5040"/>
            <w:vAlign w:val="center"/>
            <w:tcBorders>
              <w:top w:val="single" w:sz="4" w:color="B4C7E7"/>
              <w:left w:val="single" w:sz="4" w:color="B4C7E7"/>
              <w:bottom w:val="single" w:sz="4" w:color="B4C7E7"/>
              <w:right w:val="single" w:sz="4" w:color="B4C7E7"/>
            </w:tcBorders>
          </w:tcPr>
          <w:p>
            <w:pPr>
              <w:spacing w:after="40"/>
            </w:pPr>
            <w:r>
              <w:rPr>
                <w:sz w:val="18"/>
              </w:rPr>
              <w:t>P1</w:t>
            </w:r>
          </w:p>
        </w:tc>
      </w:tr>
      <w:tr>
        <w:trPr>
          <w:cantSplit/>
          <w:cantSplit/>
        </w:trPr>
        <w:tc>
          <w:tcPr>
            <w:tcW w:type="dxa" w:w="5040"/>
            <w:shd w:fill="D9EAF7"/>
            <w:vAlign w:val="center"/>
            <w:tcBorders>
              <w:top w:val="single" w:sz="4" w:color="B4C7E7"/>
              <w:left w:val="single" w:sz="4" w:color="B4C7E7"/>
              <w:bottom w:val="single" w:sz="4" w:color="B4C7E7"/>
              <w:right w:val="single" w:sz="4" w:color="B4C7E7"/>
            </w:tcBorders>
          </w:tcPr>
          <w:p>
            <w:pPr>
              <w:spacing w:after="40"/>
            </w:pPr>
            <w:r>
              <w:rPr>
                <w:b/>
                <w:color w:val="1F4E79"/>
                <w:sz w:val="18"/>
              </w:rPr>
              <w:t>Objectif</w:t>
            </w:r>
          </w:p>
        </w:tc>
        <w:tc>
          <w:tcPr>
            <w:tcW w:type="dxa" w:w="5040"/>
            <w:vAlign w:val="center"/>
            <w:tcBorders>
              <w:top w:val="single" w:sz="4" w:color="B4C7E7"/>
              <w:left w:val="single" w:sz="4" w:color="B4C7E7"/>
              <w:bottom w:val="single" w:sz="4" w:color="B4C7E7"/>
              <w:right w:val="single" w:sz="4" w:color="B4C7E7"/>
            </w:tcBorders>
          </w:tcPr>
          <w:p>
            <w:pPr>
              <w:spacing w:after="40"/>
            </w:pPr>
            <w:r>
              <w:rPr>
                <w:sz w:val="18"/>
              </w:rPr>
              <w:t>Empêcher l’usurpation d’un agent, la modification d’un message et la pollution des communications inter-agents.</w:t>
            </w:r>
          </w:p>
        </w:tc>
      </w:tr>
      <w:tr>
        <w:trPr>
          <w:cantSplit/>
          <w:cantSplit/>
        </w:trPr>
        <w:tc>
          <w:tcPr>
            <w:tcW w:type="dxa" w:w="5040"/>
            <w:shd w:fill="D9EAF7"/>
            <w:vAlign w:val="center"/>
            <w:tcBorders>
              <w:top w:val="single" w:sz="4" w:color="B4C7E7"/>
              <w:left w:val="single" w:sz="4" w:color="B4C7E7"/>
              <w:bottom w:val="single" w:sz="4" w:color="B4C7E7"/>
              <w:right w:val="single" w:sz="4" w:color="B4C7E7"/>
            </w:tcBorders>
          </w:tcPr>
          <w:p>
            <w:pPr>
              <w:spacing w:after="40"/>
            </w:pPr>
            <w:r>
              <w:rPr>
                <w:b/>
                <w:color w:val="1F4E79"/>
                <w:sz w:val="18"/>
              </w:rPr>
              <w:t>État actuel</w:t>
            </w:r>
          </w:p>
        </w:tc>
        <w:tc>
          <w:tcPr>
            <w:tcW w:type="dxa" w:w="5040"/>
            <w:vAlign w:val="center"/>
            <w:tcBorders>
              <w:top w:val="single" w:sz="4" w:color="B4C7E7"/>
              <w:left w:val="single" w:sz="4" w:color="B4C7E7"/>
              <w:bottom w:val="single" w:sz="4" w:color="B4C7E7"/>
              <w:right w:val="single" w:sz="4" w:color="B4C7E7"/>
            </w:tcBorders>
          </w:tcPr>
          <w:p>
            <w:pPr>
              <w:spacing w:after="40"/>
            </w:pPr>
            <w:r>
              <w:rPr>
                <w:sz w:val="18"/>
              </w:rPr>
              <w:t>Le passage obligatoire par le MCP réduit fortement ce risque ; TLS, authentification et intégrité doivent être complétés en environnement corporatif.</w:t>
            </w:r>
          </w:p>
        </w:tc>
      </w:tr>
    </w:tbl>
    <w:p>
      <w:pPr>
        <w:spacing w:before="80"/>
      </w:pPr>
      <w:r>
        <w:rPr>
          <w:b/>
          <w:color w:val="1F4E79"/>
        </w:rPr>
        <w:t>Travaux à réaliser</w:t>
      </w:r>
    </w:p>
    <w:p>
      <w:pPr>
        <w:pStyle w:val="ListBullet"/>
        <w:spacing w:after="40"/>
        <w:ind w:left="259"/>
      </w:pPr>
      <w:r>
        <w:t>Conserver l’interdiction des communications peer-to-peer.</w:t>
      </w:r>
    </w:p>
    <w:p>
      <w:pPr>
        <w:pStyle w:val="ListBullet"/>
        <w:spacing w:after="40"/>
        <w:ind w:left="259"/>
      </w:pPr>
      <w:r>
        <w:t>Utiliser TLS et des certificats corporatifs entre composants distribués.</w:t>
      </w:r>
    </w:p>
    <w:p>
      <w:pPr>
        <w:pStyle w:val="ListBullet"/>
        <w:spacing w:after="40"/>
        <w:ind w:left="259"/>
      </w:pPr>
      <w:r>
        <w:t>Inclure message_id, run_id, from, to, type, version, timestamp et hash dans chaque échange.</w:t>
      </w:r>
    </w:p>
    <w:p>
      <w:pPr>
        <w:pStyle w:val="ListBullet"/>
        <w:spacing w:after="40"/>
        <w:ind w:left="259"/>
      </w:pPr>
      <w:r>
        <w:t>Vérifier l’identité et le rôle de l’émetteur.</w:t>
      </w:r>
    </w:p>
    <w:p>
      <w:pPr>
        <w:pStyle w:val="ListBullet"/>
        <w:spacing w:after="40"/>
        <w:ind w:left="259"/>
      </w:pPr>
      <w:r>
        <w:t>Ajouter HMAC ou signature si les composants sont distribués entre plusieurs zones.</w:t>
      </w:r>
    </w:p>
    <w:p>
      <w:pPr>
        <w:spacing w:before="60"/>
      </w:pPr>
      <w:r>
        <w:rPr>
          <w:b/>
          <w:color w:val="1F4E79"/>
        </w:rPr>
        <w:t>Critères d'acceptation</w:t>
      </w:r>
    </w:p>
    <w:p>
      <w:pPr>
        <w:pStyle w:val="ListBullet"/>
        <w:spacing w:after="40"/>
        <w:ind w:left="259"/>
      </w:pPr>
      <w:r>
        <w:t>Un message modifié ou provenant d’un rôle non autorisé est rejeté.</w:t>
      </w:r>
    </w:p>
    <w:p>
      <w:pPr>
        <w:pStyle w:val="ListBullet"/>
        <w:spacing w:after="40"/>
        <w:ind w:left="259"/>
      </w:pPr>
      <w:r>
        <w:t>Un message ne peut pas être rejoué dans un autre run.</w:t>
      </w:r>
    </w:p>
    <w:p>
      <w:pPr>
        <w:pStyle w:val="ListBullet"/>
        <w:spacing w:after="40"/>
        <w:ind w:left="259"/>
      </w:pPr>
      <w:r>
        <w:t>Tous les échanges sont corrélables de bout en bout.</w:t>
      </w:r>
    </w:p>
    <w:p>
      <w:pPr>
        <w:pStyle w:val="ListBullet"/>
        <w:spacing w:after="40"/>
        <w:ind w:left="259"/>
      </w:pPr>
      <w:r>
        <w:t>Aucune communication directe entre LLM n’est possible.</w:t>
      </w:r>
    </w:p>
    <w:p>
      <w:pPr>
        <w:spacing w:before="60"/>
      </w:pPr>
      <w:r>
        <w:rPr>
          <w:b/>
          <w:color w:val="1F4E79"/>
        </w:rPr>
        <w:t>Preuves attendues</w:t>
      </w:r>
    </w:p>
    <w:p>
      <w:pPr>
        <w:pStyle w:val="ListBullet"/>
        <w:spacing w:after="40"/>
        <w:ind w:left="259"/>
      </w:pPr>
      <w:r>
        <w:t>Contrat MessageEnvelope</w:t>
      </w:r>
    </w:p>
    <w:p>
      <w:pPr>
        <w:pStyle w:val="ListBullet"/>
        <w:spacing w:after="40"/>
        <w:ind w:left="259"/>
      </w:pPr>
      <w:r>
        <w:t>Configuration TLS</w:t>
      </w:r>
    </w:p>
    <w:p>
      <w:pPr>
        <w:pStyle w:val="ListBullet"/>
        <w:spacing w:after="40"/>
        <w:ind w:left="259"/>
      </w:pPr>
      <w:r>
        <w:t>Tests de falsification, rejeu et usurpation</w:t>
      </w:r>
    </w:p>
    <w:p>
      <w:pPr>
        <w:pStyle w:val="Heading2"/>
        <w:keepNext/>
      </w:pPr>
      <w:r>
        <w:t>10. Protection et gouvernance des données corporatives</w:t>
      </w:r>
    </w:p>
    <w:tbl>
      <w:tblPr>
        <w:tblW w:type="auto" w:w="0"/>
        <w:jc w:val="center"/>
        <w:tblLayout w:type="fixed"/>
        <w:tblLook w:firstColumn="1" w:firstRow="1" w:lastColumn="0" w:lastRow="0" w:noHBand="0" w:noVBand="1" w:val="04A0"/>
      </w:tblPr>
      <w:tblGrid>
        <w:gridCol w:w="2232"/>
        <w:gridCol w:w="8568"/>
      </w:tblGrid>
      <w:tr>
        <w:trPr>
          <w:cantSplit/>
          <w:tblHeader w:val="true"/>
          <w:cantSplit/>
        </w:trPr>
        <w:tc>
          <w:tcPr>
            <w:tcW w:type="dxa" w:w="5040"/>
            <w:shd w:fill="D9EAF7"/>
            <w:vAlign w:val="center"/>
            <w:tcBorders>
              <w:top w:val="single" w:sz="4" w:color="B4C7E7"/>
              <w:left w:val="single" w:sz="4" w:color="B4C7E7"/>
              <w:bottom w:val="single" w:sz="4" w:color="B4C7E7"/>
              <w:right w:val="single" w:sz="4" w:color="B4C7E7"/>
            </w:tcBorders>
          </w:tcPr>
          <w:p>
            <w:pPr>
              <w:spacing w:after="40"/>
            </w:pPr>
            <w:r>
              <w:rPr>
                <w:b/>
                <w:color w:val="1F4E79"/>
                <w:sz w:val="18"/>
              </w:rPr>
              <w:t>Priorité</w:t>
            </w:r>
          </w:p>
        </w:tc>
        <w:tc>
          <w:tcPr>
            <w:tcW w:type="dxa" w:w="5040"/>
            <w:vAlign w:val="center"/>
            <w:tcBorders>
              <w:top w:val="single" w:sz="4" w:color="B4C7E7"/>
              <w:left w:val="single" w:sz="4" w:color="B4C7E7"/>
              <w:bottom w:val="single" w:sz="4" w:color="B4C7E7"/>
              <w:right w:val="single" w:sz="4" w:color="B4C7E7"/>
            </w:tcBorders>
          </w:tcPr>
          <w:p>
            <w:pPr>
              <w:spacing w:after="40"/>
            </w:pPr>
            <w:r>
              <w:rPr>
                <w:sz w:val="18"/>
              </w:rPr>
              <w:t>P1</w:t>
            </w:r>
          </w:p>
        </w:tc>
      </w:tr>
      <w:tr>
        <w:trPr>
          <w:cantSplit/>
          <w:cantSplit/>
        </w:trPr>
        <w:tc>
          <w:tcPr>
            <w:tcW w:type="dxa" w:w="5040"/>
            <w:shd w:fill="D9EAF7"/>
            <w:vAlign w:val="center"/>
            <w:tcBorders>
              <w:top w:val="single" w:sz="4" w:color="B4C7E7"/>
              <w:left w:val="single" w:sz="4" w:color="B4C7E7"/>
              <w:bottom w:val="single" w:sz="4" w:color="B4C7E7"/>
              <w:right w:val="single" w:sz="4" w:color="B4C7E7"/>
            </w:tcBorders>
          </w:tcPr>
          <w:p>
            <w:pPr>
              <w:spacing w:after="40"/>
            </w:pPr>
            <w:r>
              <w:rPr>
                <w:b/>
                <w:color w:val="1F4E79"/>
                <w:sz w:val="18"/>
              </w:rPr>
              <w:t>Objectif</w:t>
            </w:r>
          </w:p>
        </w:tc>
        <w:tc>
          <w:tcPr>
            <w:tcW w:type="dxa" w:w="5040"/>
            <w:vAlign w:val="center"/>
            <w:tcBorders>
              <w:top w:val="single" w:sz="4" w:color="B4C7E7"/>
              <w:left w:val="single" w:sz="4" w:color="B4C7E7"/>
              <w:bottom w:val="single" w:sz="4" w:color="B4C7E7"/>
              <w:right w:val="single" w:sz="4" w:color="B4C7E7"/>
            </w:tcBorders>
          </w:tcPr>
          <w:p>
            <w:pPr>
              <w:spacing w:after="40"/>
            </w:pPr>
            <w:r>
              <w:rPr>
                <w:sz w:val="18"/>
              </w:rPr>
              <w:t>Garantir que les Evidence et résultats sensibles sont traités uniquement dans les zones et modèles autorisés.</w:t>
            </w:r>
          </w:p>
        </w:tc>
      </w:tr>
      <w:tr>
        <w:trPr>
          <w:cantSplit/>
          <w:cantSplit/>
        </w:trPr>
        <w:tc>
          <w:tcPr>
            <w:tcW w:type="dxa" w:w="5040"/>
            <w:shd w:fill="D9EAF7"/>
            <w:vAlign w:val="center"/>
            <w:tcBorders>
              <w:top w:val="single" w:sz="4" w:color="B4C7E7"/>
              <w:left w:val="single" w:sz="4" w:color="B4C7E7"/>
              <w:bottom w:val="single" w:sz="4" w:color="B4C7E7"/>
              <w:right w:val="single" w:sz="4" w:color="B4C7E7"/>
            </w:tcBorders>
          </w:tcPr>
          <w:p>
            <w:pPr>
              <w:spacing w:after="40"/>
            </w:pPr>
            <w:r>
              <w:rPr>
                <w:b/>
                <w:color w:val="1F4E79"/>
                <w:sz w:val="18"/>
              </w:rPr>
              <w:t>État actuel</w:t>
            </w:r>
          </w:p>
        </w:tc>
        <w:tc>
          <w:tcPr>
            <w:tcW w:type="dxa" w:w="5040"/>
            <w:vAlign w:val="center"/>
            <w:tcBorders>
              <w:top w:val="single" w:sz="4" w:color="B4C7E7"/>
              <w:left w:val="single" w:sz="4" w:color="B4C7E7"/>
              <w:bottom w:val="single" w:sz="4" w:color="B4C7E7"/>
              <w:right w:val="single" w:sz="4" w:color="B4C7E7"/>
            </w:tcBorders>
          </w:tcPr>
          <w:p>
            <w:pPr>
              <w:spacing w:after="40"/>
            </w:pPr>
            <w:r>
              <w:rPr>
                <w:sz w:val="18"/>
              </w:rPr>
              <w:t>Le pilote utilise des preuves fictives ; les règles de classification et de résidence doivent être appliquées avant les données réelles.</w:t>
            </w:r>
          </w:p>
        </w:tc>
      </w:tr>
    </w:tbl>
    <w:p>
      <w:pPr>
        <w:spacing w:before="80"/>
      </w:pPr>
      <w:r>
        <w:rPr>
          <w:b/>
          <w:color w:val="1F4E79"/>
        </w:rPr>
        <w:t>Travaux à réaliser</w:t>
      </w:r>
    </w:p>
    <w:p>
      <w:pPr>
        <w:pStyle w:val="ListBullet"/>
        <w:spacing w:after="40"/>
        <w:ind w:left="259"/>
      </w:pPr>
      <w:r>
        <w:t>Associer à chaque Evidence une classification et des zones de traitement autorisées.</w:t>
      </w:r>
    </w:p>
    <w:p>
      <w:pPr>
        <w:pStyle w:val="ListBullet"/>
        <w:spacing w:after="40"/>
        <w:ind w:left="259"/>
      </w:pPr>
      <w:r>
        <w:t>Interdire l’envoi externe lorsque external_processing_allowed=false.</w:t>
      </w:r>
    </w:p>
    <w:p>
      <w:pPr>
        <w:pStyle w:val="ListBullet"/>
        <w:spacing w:after="40"/>
        <w:ind w:left="259"/>
      </w:pPr>
      <w:r>
        <w:t>Masquer ou pseudonymiser les données non nécessaires.</w:t>
      </w:r>
    </w:p>
    <w:p>
      <w:pPr>
        <w:pStyle w:val="ListBullet"/>
        <w:spacing w:after="40"/>
        <w:ind w:left="259"/>
      </w:pPr>
      <w:r>
        <w:t>Définir les durées de rétention pour contextes, résultats et logs.</w:t>
      </w:r>
    </w:p>
    <w:p>
      <w:pPr>
        <w:pStyle w:val="ListBullet"/>
        <w:spacing w:after="40"/>
        <w:ind w:left="259"/>
      </w:pPr>
      <w:r>
        <w:t>Documenter les champs visibles par chaque rôle.</w:t>
      </w:r>
    </w:p>
    <w:p>
      <w:pPr>
        <w:spacing w:before="60"/>
      </w:pPr>
      <w:r>
        <w:rPr>
          <w:b/>
          <w:color w:val="1F4E79"/>
        </w:rPr>
        <w:t>Critères d'acceptation</w:t>
      </w:r>
    </w:p>
    <w:p>
      <w:pPr>
        <w:pStyle w:val="ListBullet"/>
        <w:spacing w:after="40"/>
        <w:ind w:left="259"/>
      </w:pPr>
      <w:r>
        <w:t>Une Evidence confidentielle n’est jamais routée vers une API non approuvée.</w:t>
      </w:r>
    </w:p>
    <w:p>
      <w:pPr>
        <w:pStyle w:val="ListBullet"/>
        <w:spacing w:after="40"/>
        <w:ind w:left="259"/>
      </w:pPr>
      <w:r>
        <w:t>Le MCP bloque un modèle incompatible avec la classification.</w:t>
      </w:r>
    </w:p>
    <w:p>
      <w:pPr>
        <w:pStyle w:val="ListBullet"/>
        <w:spacing w:after="40"/>
        <w:ind w:left="259"/>
      </w:pPr>
      <w:r>
        <w:t>Les logs n’exposent pas de contenu sensible inutile.</w:t>
      </w:r>
    </w:p>
    <w:p>
      <w:pPr>
        <w:pStyle w:val="ListBullet"/>
        <w:spacing w:after="40"/>
        <w:ind w:left="259"/>
      </w:pPr>
      <w:r>
        <w:t>La suppression selon rétention est vérifiable.</w:t>
      </w:r>
    </w:p>
    <w:p>
      <w:pPr>
        <w:spacing w:before="60"/>
      </w:pPr>
      <w:r>
        <w:rPr>
          <w:b/>
          <w:color w:val="1F4E79"/>
        </w:rPr>
        <w:t>Preuves attendues</w:t>
      </w:r>
    </w:p>
    <w:p>
      <w:pPr>
        <w:pStyle w:val="ListBullet"/>
        <w:spacing w:after="40"/>
        <w:ind w:left="259"/>
      </w:pPr>
      <w:r>
        <w:t>Matrice de traitement des données</w:t>
      </w:r>
    </w:p>
    <w:p>
      <w:pPr>
        <w:pStyle w:val="ListBullet"/>
        <w:spacing w:after="40"/>
        <w:ind w:left="259"/>
      </w:pPr>
      <w:r>
        <w:t>Règles de routage par classification</w:t>
      </w:r>
    </w:p>
    <w:p>
      <w:pPr>
        <w:pStyle w:val="ListBullet"/>
        <w:spacing w:after="40"/>
        <w:ind w:left="259"/>
      </w:pPr>
      <w:r>
        <w:t>Tests de blocage d’exfiltration</w:t>
      </w:r>
    </w:p>
    <w:p>
      <w:pPr>
        <w:pStyle w:val="ListBullet"/>
        <w:spacing w:after="40"/>
        <w:ind w:left="259"/>
      </w:pPr>
      <w:r>
        <w:t>Politique de rétention</w:t>
      </w:r>
    </w:p>
    <w:p>
      <w:pPr>
        <w:pStyle w:val="Heading2"/>
        <w:keepNext/>
      </w:pPr>
      <w:r>
        <w:t>11. Registre des modèles et sécurité de la chaîne logicielle</w:t>
      </w:r>
    </w:p>
    <w:tbl>
      <w:tblPr>
        <w:tblW w:type="auto" w:w="0"/>
        <w:jc w:val="center"/>
        <w:tblLayout w:type="fixed"/>
        <w:tblLook w:firstColumn="1" w:firstRow="1" w:lastColumn="0" w:lastRow="0" w:noHBand="0" w:noVBand="1" w:val="04A0"/>
      </w:tblPr>
      <w:tblGrid>
        <w:gridCol w:w="2232"/>
        <w:gridCol w:w="8568"/>
      </w:tblGrid>
      <w:tr>
        <w:trPr>
          <w:cantSplit/>
          <w:tblHeader w:val="true"/>
          <w:cantSplit/>
        </w:trPr>
        <w:tc>
          <w:tcPr>
            <w:tcW w:type="dxa" w:w="5040"/>
            <w:shd w:fill="D9EAF7"/>
            <w:vAlign w:val="center"/>
            <w:tcBorders>
              <w:top w:val="single" w:sz="4" w:color="B4C7E7"/>
              <w:left w:val="single" w:sz="4" w:color="B4C7E7"/>
              <w:bottom w:val="single" w:sz="4" w:color="B4C7E7"/>
              <w:right w:val="single" w:sz="4" w:color="B4C7E7"/>
            </w:tcBorders>
          </w:tcPr>
          <w:p>
            <w:pPr>
              <w:spacing w:after="40"/>
            </w:pPr>
            <w:r>
              <w:rPr>
                <w:b/>
                <w:color w:val="1F4E79"/>
                <w:sz w:val="18"/>
              </w:rPr>
              <w:t>Priorité</w:t>
            </w:r>
          </w:p>
        </w:tc>
        <w:tc>
          <w:tcPr>
            <w:tcW w:type="dxa" w:w="5040"/>
            <w:vAlign w:val="center"/>
            <w:tcBorders>
              <w:top w:val="single" w:sz="4" w:color="B4C7E7"/>
              <w:left w:val="single" w:sz="4" w:color="B4C7E7"/>
              <w:bottom w:val="single" w:sz="4" w:color="B4C7E7"/>
              <w:right w:val="single" w:sz="4" w:color="B4C7E7"/>
            </w:tcBorders>
          </w:tcPr>
          <w:p>
            <w:pPr>
              <w:spacing w:after="40"/>
            </w:pPr>
            <w:r>
              <w:rPr>
                <w:sz w:val="18"/>
              </w:rPr>
              <w:t>P1/P2</w:t>
            </w:r>
          </w:p>
        </w:tc>
      </w:tr>
      <w:tr>
        <w:trPr>
          <w:cantSplit/>
          <w:cantSplit/>
        </w:trPr>
        <w:tc>
          <w:tcPr>
            <w:tcW w:type="dxa" w:w="5040"/>
            <w:shd w:fill="D9EAF7"/>
            <w:vAlign w:val="center"/>
            <w:tcBorders>
              <w:top w:val="single" w:sz="4" w:color="B4C7E7"/>
              <w:left w:val="single" w:sz="4" w:color="B4C7E7"/>
              <w:bottom w:val="single" w:sz="4" w:color="B4C7E7"/>
              <w:right w:val="single" w:sz="4" w:color="B4C7E7"/>
            </w:tcBorders>
          </w:tcPr>
          <w:p>
            <w:pPr>
              <w:spacing w:after="40"/>
            </w:pPr>
            <w:r>
              <w:rPr>
                <w:b/>
                <w:color w:val="1F4E79"/>
                <w:sz w:val="18"/>
              </w:rPr>
              <w:t>Objectif</w:t>
            </w:r>
          </w:p>
        </w:tc>
        <w:tc>
          <w:tcPr>
            <w:tcW w:type="dxa" w:w="5040"/>
            <w:vAlign w:val="center"/>
            <w:tcBorders>
              <w:top w:val="single" w:sz="4" w:color="B4C7E7"/>
              <w:left w:val="single" w:sz="4" w:color="B4C7E7"/>
              <w:bottom w:val="single" w:sz="4" w:color="B4C7E7"/>
              <w:right w:val="single" w:sz="4" w:color="B4C7E7"/>
            </w:tcBorders>
          </w:tcPr>
          <w:p>
            <w:pPr>
              <w:spacing w:after="40"/>
            </w:pPr>
            <w:r>
              <w:rPr>
                <w:sz w:val="18"/>
              </w:rPr>
              <w:t>Réduire le risque de modèle compromis, dépendance vulnérable ou configuration non approuvée.</w:t>
            </w:r>
          </w:p>
        </w:tc>
      </w:tr>
      <w:tr>
        <w:trPr>
          <w:cantSplit/>
          <w:cantSplit/>
        </w:trPr>
        <w:tc>
          <w:tcPr>
            <w:tcW w:type="dxa" w:w="5040"/>
            <w:shd w:fill="D9EAF7"/>
            <w:vAlign w:val="center"/>
            <w:tcBorders>
              <w:top w:val="single" w:sz="4" w:color="B4C7E7"/>
              <w:left w:val="single" w:sz="4" w:color="B4C7E7"/>
              <w:bottom w:val="single" w:sz="4" w:color="B4C7E7"/>
              <w:right w:val="single" w:sz="4" w:color="B4C7E7"/>
            </w:tcBorders>
          </w:tcPr>
          <w:p>
            <w:pPr>
              <w:spacing w:after="40"/>
            </w:pPr>
            <w:r>
              <w:rPr>
                <w:b/>
                <w:color w:val="1F4E79"/>
                <w:sz w:val="18"/>
              </w:rPr>
              <w:t>État actuel</w:t>
            </w:r>
          </w:p>
        </w:tc>
        <w:tc>
          <w:tcPr>
            <w:tcW w:type="dxa" w:w="5040"/>
            <w:vAlign w:val="center"/>
            <w:tcBorders>
              <w:top w:val="single" w:sz="4" w:color="B4C7E7"/>
              <w:left w:val="single" w:sz="4" w:color="B4C7E7"/>
              <w:bottom w:val="single" w:sz="4" w:color="B4C7E7"/>
              <w:right w:val="single" w:sz="4" w:color="B4C7E7"/>
            </w:tcBorders>
          </w:tcPr>
          <w:p>
            <w:pPr>
              <w:spacing w:after="40"/>
            </w:pPr>
            <w:r>
              <w:rPr>
                <w:sz w:val="18"/>
              </w:rPr>
              <w:t>Les modèles locaux sont identifiés, mais leur provenance, hash, approbation et cycle de mise à jour doivent être formalisés.</w:t>
            </w:r>
          </w:p>
        </w:tc>
      </w:tr>
    </w:tbl>
    <w:p>
      <w:pPr>
        <w:spacing w:before="80"/>
      </w:pPr>
      <w:r>
        <w:rPr>
          <w:b/>
          <w:color w:val="1F4E79"/>
        </w:rPr>
        <w:t>Travaux à réaliser</w:t>
      </w:r>
    </w:p>
    <w:p>
      <w:pPr>
        <w:pStyle w:val="ListBullet"/>
        <w:spacing w:after="40"/>
        <w:ind w:left="259"/>
      </w:pPr>
      <w:r>
        <w:t>Créer un registre des modèles approuvés avec version, source, digest, licence et classifications autorisées.</w:t>
      </w:r>
    </w:p>
    <w:p>
      <w:pPr>
        <w:pStyle w:val="ListBullet"/>
        <w:spacing w:after="40"/>
        <w:ind w:left="259"/>
      </w:pPr>
      <w:r>
        <w:t>Interdire les téléchargements automatiques depuis des sources non approuvées.</w:t>
      </w:r>
    </w:p>
    <w:p>
      <w:pPr>
        <w:pStyle w:val="ListBullet"/>
        <w:spacing w:after="40"/>
        <w:ind w:left="259"/>
      </w:pPr>
      <w:r>
        <w:t>Fixer les versions des bibliothèques, images Docker et composants MCP.</w:t>
      </w:r>
    </w:p>
    <w:p>
      <w:pPr>
        <w:pStyle w:val="ListBullet"/>
        <w:spacing w:after="40"/>
        <w:ind w:left="259"/>
      </w:pPr>
      <w:r>
        <w:t>Générer un inventaire logiciel et analyser les vulnérabilités.</w:t>
      </w:r>
    </w:p>
    <w:p>
      <w:pPr>
        <w:pStyle w:val="ListBullet"/>
        <w:spacing w:after="40"/>
        <w:ind w:left="259"/>
      </w:pPr>
      <w:r>
        <w:t>Tester une nouvelle version sur le benchmark interne avant promotion.</w:t>
      </w:r>
    </w:p>
    <w:p>
      <w:pPr>
        <w:spacing w:before="60"/>
      </w:pPr>
      <w:r>
        <w:rPr>
          <w:b/>
          <w:color w:val="1F4E79"/>
        </w:rPr>
        <w:t>Critères d'acceptation</w:t>
      </w:r>
    </w:p>
    <w:p>
      <w:pPr>
        <w:pStyle w:val="ListBullet"/>
        <w:spacing w:after="40"/>
        <w:ind w:left="259"/>
      </w:pPr>
      <w:r>
        <w:t>Tout modèle utilisé est présent dans le registre APPROVED.</w:t>
      </w:r>
    </w:p>
    <w:p>
      <w:pPr>
        <w:pStyle w:val="ListBullet"/>
        <w:spacing w:after="40"/>
        <w:ind w:left="259"/>
      </w:pPr>
      <w:r>
        <w:t>Le hash du modèle est vérifié au démarrage.</w:t>
      </w:r>
    </w:p>
    <w:p>
      <w:pPr>
        <w:pStyle w:val="ListBullet"/>
        <w:spacing w:after="40"/>
        <w:ind w:left="259"/>
      </w:pPr>
      <w:r>
        <w:t>Une version inconnue empêche le lancement du rôle concerné.</w:t>
      </w:r>
    </w:p>
    <w:p>
      <w:pPr>
        <w:pStyle w:val="ListBullet"/>
        <w:spacing w:after="40"/>
        <w:ind w:left="259"/>
      </w:pPr>
      <w:r>
        <w:t>La mise à jour suit une procédure de test et d’approbation.</w:t>
      </w:r>
    </w:p>
    <w:p>
      <w:pPr>
        <w:spacing w:before="60"/>
      </w:pPr>
      <w:r>
        <w:rPr>
          <w:b/>
          <w:color w:val="1F4E79"/>
        </w:rPr>
        <w:t>Preuves attendues</w:t>
      </w:r>
    </w:p>
    <w:p>
      <w:pPr>
        <w:pStyle w:val="ListBullet"/>
        <w:spacing w:after="40"/>
        <w:ind w:left="259"/>
      </w:pPr>
      <w:r>
        <w:t>Registre des modèles</w:t>
      </w:r>
    </w:p>
    <w:p>
      <w:pPr>
        <w:pStyle w:val="ListBullet"/>
        <w:spacing w:after="40"/>
        <w:ind w:left="259"/>
      </w:pPr>
      <w:r>
        <w:t>SBOM ou inventaire des dépendances</w:t>
      </w:r>
    </w:p>
    <w:p>
      <w:pPr>
        <w:pStyle w:val="ListBullet"/>
        <w:spacing w:after="40"/>
        <w:ind w:left="259"/>
      </w:pPr>
      <w:r>
        <w:t>Rapport de scan</w:t>
      </w:r>
    </w:p>
    <w:p>
      <w:pPr>
        <w:pStyle w:val="ListBullet"/>
        <w:spacing w:after="40"/>
        <w:ind w:left="259"/>
      </w:pPr>
      <w:r>
        <w:t>Résultats de benchmark par version</w:t>
      </w:r>
    </w:p>
    <w:p>
      <w:pPr>
        <w:pStyle w:val="Heading2"/>
        <w:keepNext/>
      </w:pPr>
      <w:r>
        <w:t>12. Journaux résistants à la falsification et monitoring</w:t>
      </w:r>
    </w:p>
    <w:tbl>
      <w:tblPr>
        <w:tblW w:type="auto" w:w="0"/>
        <w:jc w:val="center"/>
        <w:tblLayout w:type="fixed"/>
        <w:tblLook w:firstColumn="1" w:firstRow="1" w:lastColumn="0" w:lastRow="0" w:noHBand="0" w:noVBand="1" w:val="04A0"/>
      </w:tblPr>
      <w:tblGrid>
        <w:gridCol w:w="2232"/>
        <w:gridCol w:w="8568"/>
      </w:tblGrid>
      <w:tr>
        <w:trPr>
          <w:cantSplit/>
          <w:tblHeader w:val="true"/>
          <w:cantSplit/>
        </w:trPr>
        <w:tc>
          <w:tcPr>
            <w:tcW w:type="dxa" w:w="5040"/>
            <w:shd w:fill="D9EAF7"/>
            <w:vAlign w:val="center"/>
            <w:tcBorders>
              <w:top w:val="single" w:sz="4" w:color="B4C7E7"/>
              <w:left w:val="single" w:sz="4" w:color="B4C7E7"/>
              <w:bottom w:val="single" w:sz="4" w:color="B4C7E7"/>
              <w:right w:val="single" w:sz="4" w:color="B4C7E7"/>
            </w:tcBorders>
          </w:tcPr>
          <w:p>
            <w:pPr>
              <w:spacing w:after="40"/>
            </w:pPr>
            <w:r>
              <w:rPr>
                <w:b/>
                <w:color w:val="1F4E79"/>
                <w:sz w:val="18"/>
              </w:rPr>
              <w:t>Priorité</w:t>
            </w:r>
          </w:p>
        </w:tc>
        <w:tc>
          <w:tcPr>
            <w:tcW w:type="dxa" w:w="5040"/>
            <w:vAlign w:val="center"/>
            <w:tcBorders>
              <w:top w:val="single" w:sz="4" w:color="B4C7E7"/>
              <w:left w:val="single" w:sz="4" w:color="B4C7E7"/>
              <w:bottom w:val="single" w:sz="4" w:color="B4C7E7"/>
              <w:right w:val="single" w:sz="4" w:color="B4C7E7"/>
            </w:tcBorders>
          </w:tcPr>
          <w:p>
            <w:pPr>
              <w:spacing w:after="40"/>
            </w:pPr>
            <w:r>
              <w:rPr>
                <w:sz w:val="18"/>
              </w:rPr>
              <w:t>P1/P2</w:t>
            </w:r>
          </w:p>
        </w:tc>
      </w:tr>
      <w:tr>
        <w:trPr>
          <w:cantSplit/>
          <w:cantSplit/>
        </w:trPr>
        <w:tc>
          <w:tcPr>
            <w:tcW w:type="dxa" w:w="5040"/>
            <w:shd w:fill="D9EAF7"/>
            <w:vAlign w:val="center"/>
            <w:tcBorders>
              <w:top w:val="single" w:sz="4" w:color="B4C7E7"/>
              <w:left w:val="single" w:sz="4" w:color="B4C7E7"/>
              <w:bottom w:val="single" w:sz="4" w:color="B4C7E7"/>
              <w:right w:val="single" w:sz="4" w:color="B4C7E7"/>
            </w:tcBorders>
          </w:tcPr>
          <w:p>
            <w:pPr>
              <w:spacing w:after="40"/>
            </w:pPr>
            <w:r>
              <w:rPr>
                <w:b/>
                <w:color w:val="1F4E79"/>
                <w:sz w:val="18"/>
              </w:rPr>
              <w:t>Objectif</w:t>
            </w:r>
          </w:p>
        </w:tc>
        <w:tc>
          <w:tcPr>
            <w:tcW w:type="dxa" w:w="5040"/>
            <w:vAlign w:val="center"/>
            <w:tcBorders>
              <w:top w:val="single" w:sz="4" w:color="B4C7E7"/>
              <w:left w:val="single" w:sz="4" w:color="B4C7E7"/>
              <w:bottom w:val="single" w:sz="4" w:color="B4C7E7"/>
              <w:right w:val="single" w:sz="4" w:color="B4C7E7"/>
            </w:tcBorders>
          </w:tcPr>
          <w:p>
            <w:pPr>
              <w:spacing w:after="40"/>
            </w:pPr>
            <w:r>
              <w:rPr>
                <w:sz w:val="18"/>
              </w:rPr>
              <w:t>Détecter les anomalies, préserver la preuve et permettre l’analyse d’un incident agentique.</w:t>
            </w:r>
          </w:p>
        </w:tc>
      </w:tr>
      <w:tr>
        <w:trPr>
          <w:cantSplit/>
          <w:cantSplit/>
        </w:trPr>
        <w:tc>
          <w:tcPr>
            <w:tcW w:type="dxa" w:w="5040"/>
            <w:shd w:fill="D9EAF7"/>
            <w:vAlign w:val="center"/>
            <w:tcBorders>
              <w:top w:val="single" w:sz="4" w:color="B4C7E7"/>
              <w:left w:val="single" w:sz="4" w:color="B4C7E7"/>
              <w:bottom w:val="single" w:sz="4" w:color="B4C7E7"/>
              <w:right w:val="single" w:sz="4" w:color="B4C7E7"/>
            </w:tcBorders>
          </w:tcPr>
          <w:p>
            <w:pPr>
              <w:spacing w:after="40"/>
            </w:pPr>
            <w:r>
              <w:rPr>
                <w:b/>
                <w:color w:val="1F4E79"/>
                <w:sz w:val="18"/>
              </w:rPr>
              <w:t>État actuel</w:t>
            </w:r>
          </w:p>
        </w:tc>
        <w:tc>
          <w:tcPr>
            <w:tcW w:type="dxa" w:w="5040"/>
            <w:vAlign w:val="center"/>
            <w:tcBorders>
              <w:top w:val="single" w:sz="4" w:color="B4C7E7"/>
              <w:left w:val="single" w:sz="4" w:color="B4C7E7"/>
              <w:bottom w:val="single" w:sz="4" w:color="B4C7E7"/>
              <w:right w:val="single" w:sz="4" w:color="B4C7E7"/>
            </w:tcBorders>
          </w:tcPr>
          <w:p>
            <w:pPr>
              <w:spacing w:after="40"/>
            </w:pPr>
            <w:r>
              <w:rPr>
                <w:sz w:val="18"/>
              </w:rPr>
              <w:t>Le JSONL append-only constitue une bonne base ; l’intégrité, la centralisation et les alertes doivent être renforcées.</w:t>
            </w:r>
          </w:p>
        </w:tc>
      </w:tr>
    </w:tbl>
    <w:p>
      <w:pPr>
        <w:spacing w:before="80"/>
      </w:pPr>
      <w:r>
        <w:rPr>
          <w:b/>
          <w:color w:val="1F4E79"/>
        </w:rPr>
        <w:t>Travaux à réaliser</w:t>
      </w:r>
    </w:p>
    <w:p>
      <w:pPr>
        <w:pStyle w:val="ListBullet"/>
        <w:spacing w:after="40"/>
        <w:ind w:left="259"/>
      </w:pPr>
      <w:r>
        <w:t>Chaîner les événements par hash ou les envoyer vers un stockage immuable.</w:t>
      </w:r>
    </w:p>
    <w:p>
      <w:pPr>
        <w:pStyle w:val="ListBullet"/>
        <w:spacing w:after="40"/>
        <w:ind w:left="259"/>
      </w:pPr>
      <w:r>
        <w:t>Séparer les droits d’écriture, lecture et administration des journaux.</w:t>
      </w:r>
    </w:p>
    <w:p>
      <w:pPr>
        <w:pStyle w:val="ListBullet"/>
        <w:spacing w:after="40"/>
        <w:ind w:left="259"/>
      </w:pPr>
      <w:r>
        <w:t>Définir des alertes sur violations de politique, timeouts, budgets, injections et changements de modèle.</w:t>
      </w:r>
    </w:p>
    <w:p>
      <w:pPr>
        <w:pStyle w:val="ListBullet"/>
        <w:spacing w:after="40"/>
        <w:ind w:left="259"/>
      </w:pPr>
      <w:r>
        <w:t>Afficher les métriques de réussite, blocage, latence, coût et désaccord.</w:t>
      </w:r>
    </w:p>
    <w:p>
      <w:pPr>
        <w:pStyle w:val="ListBullet"/>
        <w:spacing w:after="40"/>
        <w:ind w:left="259"/>
      </w:pPr>
      <w:r>
        <w:t>Préparer l’export vers le SIEM lors de l’industrialisation.</w:t>
      </w:r>
    </w:p>
    <w:p>
      <w:pPr>
        <w:spacing w:before="60"/>
      </w:pPr>
      <w:r>
        <w:rPr>
          <w:b/>
          <w:color w:val="1F4E79"/>
        </w:rPr>
        <w:t>Critères d'acceptation</w:t>
      </w:r>
    </w:p>
    <w:p>
      <w:pPr>
        <w:pStyle w:val="ListBullet"/>
        <w:spacing w:after="40"/>
        <w:ind w:left="259"/>
      </w:pPr>
      <w:r>
        <w:t>Une modification ou suppression d’événement est détectable.</w:t>
      </w:r>
    </w:p>
    <w:p>
      <w:pPr>
        <w:pStyle w:val="ListBullet"/>
        <w:spacing w:after="40"/>
        <w:ind w:left="259"/>
      </w:pPr>
      <w:r>
        <w:t>Les événements critiques génèrent une alerte.</w:t>
      </w:r>
    </w:p>
    <w:p>
      <w:pPr>
        <w:pStyle w:val="ListBullet"/>
        <w:spacing w:after="40"/>
        <w:ind w:left="259"/>
      </w:pPr>
      <w:r>
        <w:t>Le CISO dispose d’une vue synthétique sans contenu sensible excessif.</w:t>
      </w:r>
    </w:p>
    <w:p>
      <w:pPr>
        <w:pStyle w:val="ListBullet"/>
        <w:spacing w:after="40"/>
        <w:ind w:left="259"/>
      </w:pPr>
      <w:r>
        <w:t>Chaque décision finale est reconstruisible à partir des traces.</w:t>
      </w:r>
    </w:p>
    <w:p>
      <w:pPr>
        <w:spacing w:before="60"/>
      </w:pPr>
      <w:r>
        <w:rPr>
          <w:b/>
          <w:color w:val="1F4E79"/>
        </w:rPr>
        <w:t>Preuves attendues</w:t>
      </w:r>
    </w:p>
    <w:p>
      <w:pPr>
        <w:pStyle w:val="ListBullet"/>
        <w:spacing w:after="40"/>
        <w:ind w:left="259"/>
      </w:pPr>
      <w:r>
        <w:t>Schéma AuditEvent</w:t>
      </w:r>
    </w:p>
    <w:p>
      <w:pPr>
        <w:pStyle w:val="ListBullet"/>
        <w:spacing w:after="40"/>
        <w:ind w:left="259"/>
      </w:pPr>
      <w:r>
        <w:t>Test de tampering</w:t>
      </w:r>
    </w:p>
    <w:p>
      <w:pPr>
        <w:pStyle w:val="ListBullet"/>
        <w:spacing w:after="40"/>
        <w:ind w:left="259"/>
      </w:pPr>
      <w:r>
        <w:t>Tableau de bord de métriques</w:t>
      </w:r>
    </w:p>
    <w:p>
      <w:pPr>
        <w:pStyle w:val="ListBullet"/>
        <w:spacing w:after="40"/>
        <w:ind w:left="259"/>
      </w:pPr>
      <w:r>
        <w:t>Règles d’alerte</w:t>
      </w:r>
    </w:p>
    <w:p>
      <w:pPr>
        <w:pStyle w:val="Heading2"/>
        <w:keepNext/>
      </w:pPr>
      <w:r>
        <w:t>13. Supervision humaine proportionnelle au risque</w:t>
      </w:r>
    </w:p>
    <w:tbl>
      <w:tblPr>
        <w:tblW w:type="auto" w:w="0"/>
        <w:jc w:val="center"/>
        <w:tblLayout w:type="fixed"/>
        <w:tblLook w:firstColumn="1" w:firstRow="1" w:lastColumn="0" w:lastRow="0" w:noHBand="0" w:noVBand="1" w:val="04A0"/>
      </w:tblPr>
      <w:tblGrid>
        <w:gridCol w:w="2232"/>
        <w:gridCol w:w="8568"/>
      </w:tblGrid>
      <w:tr>
        <w:trPr>
          <w:cantSplit/>
          <w:tblHeader w:val="true"/>
          <w:cantSplit/>
        </w:trPr>
        <w:tc>
          <w:tcPr>
            <w:tcW w:type="dxa" w:w="5040"/>
            <w:shd w:fill="D9EAF7"/>
            <w:vAlign w:val="center"/>
            <w:tcBorders>
              <w:top w:val="single" w:sz="4" w:color="B4C7E7"/>
              <w:left w:val="single" w:sz="4" w:color="B4C7E7"/>
              <w:bottom w:val="single" w:sz="4" w:color="B4C7E7"/>
              <w:right w:val="single" w:sz="4" w:color="B4C7E7"/>
            </w:tcBorders>
          </w:tcPr>
          <w:p>
            <w:pPr>
              <w:spacing w:after="40"/>
            </w:pPr>
            <w:r>
              <w:rPr>
                <w:b/>
                <w:color w:val="1F4E79"/>
                <w:sz w:val="18"/>
              </w:rPr>
              <w:t>Priorité</w:t>
            </w:r>
          </w:p>
        </w:tc>
        <w:tc>
          <w:tcPr>
            <w:tcW w:type="dxa" w:w="5040"/>
            <w:vAlign w:val="center"/>
            <w:tcBorders>
              <w:top w:val="single" w:sz="4" w:color="B4C7E7"/>
              <w:left w:val="single" w:sz="4" w:color="B4C7E7"/>
              <w:bottom w:val="single" w:sz="4" w:color="B4C7E7"/>
              <w:right w:val="single" w:sz="4" w:color="B4C7E7"/>
            </w:tcBorders>
          </w:tcPr>
          <w:p>
            <w:pPr>
              <w:spacing w:after="40"/>
            </w:pPr>
            <w:r>
              <w:rPr>
                <w:sz w:val="18"/>
              </w:rPr>
              <w:t>P1</w:t>
            </w:r>
          </w:p>
        </w:tc>
      </w:tr>
      <w:tr>
        <w:trPr>
          <w:cantSplit/>
          <w:cantSplit/>
        </w:trPr>
        <w:tc>
          <w:tcPr>
            <w:tcW w:type="dxa" w:w="5040"/>
            <w:shd w:fill="D9EAF7"/>
            <w:vAlign w:val="center"/>
            <w:tcBorders>
              <w:top w:val="single" w:sz="4" w:color="B4C7E7"/>
              <w:left w:val="single" w:sz="4" w:color="B4C7E7"/>
              <w:bottom w:val="single" w:sz="4" w:color="B4C7E7"/>
              <w:right w:val="single" w:sz="4" w:color="B4C7E7"/>
            </w:tcBorders>
          </w:tcPr>
          <w:p>
            <w:pPr>
              <w:spacing w:after="40"/>
            </w:pPr>
            <w:r>
              <w:rPr>
                <w:b/>
                <w:color w:val="1F4E79"/>
                <w:sz w:val="18"/>
              </w:rPr>
              <w:t>Objectif</w:t>
            </w:r>
          </w:p>
        </w:tc>
        <w:tc>
          <w:tcPr>
            <w:tcW w:type="dxa" w:w="5040"/>
            <w:vAlign w:val="center"/>
            <w:tcBorders>
              <w:top w:val="single" w:sz="4" w:color="B4C7E7"/>
              <w:left w:val="single" w:sz="4" w:color="B4C7E7"/>
              <w:bottom w:val="single" w:sz="4" w:color="B4C7E7"/>
              <w:right w:val="single" w:sz="4" w:color="B4C7E7"/>
            </w:tcBorders>
          </w:tcPr>
          <w:p>
            <w:pPr>
              <w:spacing w:after="40"/>
            </w:pPr>
            <w:r>
              <w:rPr>
                <w:sz w:val="18"/>
              </w:rPr>
              <w:t>Éviter la saturation du CISO tout en maintenant une validation obligatoire pour les décisions critiques.</w:t>
            </w:r>
          </w:p>
        </w:tc>
      </w:tr>
      <w:tr>
        <w:trPr>
          <w:cantSplit/>
          <w:cantSplit/>
        </w:trPr>
        <w:tc>
          <w:tcPr>
            <w:tcW w:type="dxa" w:w="5040"/>
            <w:shd w:fill="D9EAF7"/>
            <w:vAlign w:val="center"/>
            <w:tcBorders>
              <w:top w:val="single" w:sz="4" w:color="B4C7E7"/>
              <w:left w:val="single" w:sz="4" w:color="B4C7E7"/>
              <w:bottom w:val="single" w:sz="4" w:color="B4C7E7"/>
              <w:right w:val="single" w:sz="4" w:color="B4C7E7"/>
            </w:tcBorders>
          </w:tcPr>
          <w:p>
            <w:pPr>
              <w:spacing w:after="40"/>
            </w:pPr>
            <w:r>
              <w:rPr>
                <w:b/>
                <w:color w:val="1F4E79"/>
                <w:sz w:val="18"/>
              </w:rPr>
              <w:t>État actuel</w:t>
            </w:r>
          </w:p>
        </w:tc>
        <w:tc>
          <w:tcPr>
            <w:tcW w:type="dxa" w:w="5040"/>
            <w:vAlign w:val="center"/>
            <w:tcBorders>
              <w:top w:val="single" w:sz="4" w:color="B4C7E7"/>
              <w:left w:val="single" w:sz="4" w:color="B4C7E7"/>
              <w:bottom w:val="single" w:sz="4" w:color="B4C7E7"/>
              <w:right w:val="single" w:sz="4" w:color="B4C7E7"/>
            </w:tcBorders>
          </w:tcPr>
          <w:p>
            <w:pPr>
              <w:spacing w:after="40"/>
            </w:pPr>
            <w:r>
              <w:rPr>
                <w:sz w:val="18"/>
              </w:rPr>
              <w:t>Le CISO est déjà le décideur final ; il reste à structurer l’escalade et la présentation afin d’éviter une validation automatique par fatigue.</w:t>
            </w:r>
          </w:p>
        </w:tc>
      </w:tr>
    </w:tbl>
    <w:p>
      <w:pPr>
        <w:spacing w:before="80"/>
      </w:pPr>
      <w:r>
        <w:rPr>
          <w:b/>
          <w:color w:val="1F4E79"/>
        </w:rPr>
        <w:t>Travaux à réaliser</w:t>
      </w:r>
    </w:p>
    <w:p>
      <w:pPr>
        <w:pStyle w:val="ListBullet"/>
        <w:spacing w:after="40"/>
        <w:ind w:left="259"/>
      </w:pPr>
      <w:r>
        <w:t>Classer les sorties selon risque, confiance, contradictions et suffisance des Evidence.</w:t>
      </w:r>
    </w:p>
    <w:p>
      <w:pPr>
        <w:pStyle w:val="ListBullet"/>
        <w:spacing w:after="40"/>
        <w:ind w:left="259"/>
      </w:pPr>
      <w:r>
        <w:t>Bloquer automatiquement les entrées invalides et erreurs techniques sans solliciter le CISO.</w:t>
      </w:r>
    </w:p>
    <w:p>
      <w:pPr>
        <w:pStyle w:val="ListBullet"/>
        <w:spacing w:after="40"/>
        <w:ind w:left="259"/>
      </w:pPr>
      <w:r>
        <w:t>Présenter au CISO une synthèse courte : décision, preuves, contradictions, limites et conséquence de l’approbation.</w:t>
      </w:r>
    </w:p>
    <w:p>
      <w:pPr>
        <w:pStyle w:val="ListBullet"/>
        <w:spacing w:after="40"/>
        <w:ind w:left="259"/>
      </w:pPr>
      <w:r>
        <w:t>Exiger une validation explicite pour risque élevé ou action externe.</w:t>
      </w:r>
    </w:p>
    <w:p>
      <w:pPr>
        <w:pStyle w:val="ListBullet"/>
        <w:spacing w:after="40"/>
        <w:ind w:left="259"/>
      </w:pPr>
      <w:r>
        <w:t>Mesurer le volume et le temps de revue pour ajuster les seuils.</w:t>
      </w:r>
    </w:p>
    <w:p>
      <w:pPr>
        <w:spacing w:before="60"/>
      </w:pPr>
      <w:r>
        <w:rPr>
          <w:b/>
          <w:color w:val="1F4E79"/>
        </w:rPr>
        <w:t>Critères d'acceptation</w:t>
      </w:r>
    </w:p>
    <w:p>
      <w:pPr>
        <w:pStyle w:val="ListBullet"/>
        <w:spacing w:after="40"/>
        <w:ind w:left="259"/>
      </w:pPr>
      <w:r>
        <w:t>Les cas invalides ne créent pas de demande de validation inutile.</w:t>
      </w:r>
    </w:p>
    <w:p>
      <w:pPr>
        <w:pStyle w:val="ListBullet"/>
        <w:spacing w:after="40"/>
        <w:ind w:left="259"/>
      </w:pPr>
      <w:r>
        <w:t>Les décisions critiques affichent les éléments nécessaires à une revue éclairée.</w:t>
      </w:r>
    </w:p>
    <w:p>
      <w:pPr>
        <w:pStyle w:val="ListBullet"/>
        <w:spacing w:after="40"/>
        <w:ind w:left="259"/>
      </w:pPr>
      <w:r>
        <w:t>Aucune action externe ne peut être exécutée sans approbation.</w:t>
      </w:r>
    </w:p>
    <w:p>
      <w:pPr>
        <w:pStyle w:val="ListBullet"/>
        <w:spacing w:after="40"/>
        <w:ind w:left="259"/>
      </w:pPr>
      <w:r>
        <w:t>Le taux d’escalade est mesuré et revu.</w:t>
      </w:r>
    </w:p>
    <w:p>
      <w:pPr>
        <w:spacing w:before="60"/>
      </w:pPr>
      <w:r>
        <w:rPr>
          <w:b/>
          <w:color w:val="1F4E79"/>
        </w:rPr>
        <w:t>Preuves attendues</w:t>
      </w:r>
    </w:p>
    <w:p>
      <w:pPr>
        <w:pStyle w:val="ListBullet"/>
        <w:spacing w:after="40"/>
        <w:ind w:left="259"/>
      </w:pPr>
      <w:r>
        <w:t>Maquette de l’écran CISO</w:t>
      </w:r>
    </w:p>
    <w:p>
      <w:pPr>
        <w:pStyle w:val="ListBullet"/>
        <w:spacing w:after="40"/>
        <w:ind w:left="259"/>
      </w:pPr>
      <w:r>
        <w:t>Règles d’escalade</w:t>
      </w:r>
    </w:p>
    <w:p>
      <w:pPr>
        <w:pStyle w:val="ListBullet"/>
        <w:spacing w:after="40"/>
        <w:ind w:left="259"/>
      </w:pPr>
      <w:r>
        <w:t>Tests d’approbation et de rejet</w:t>
      </w:r>
    </w:p>
    <w:p>
      <w:pPr>
        <w:pStyle w:val="ListBullet"/>
        <w:spacing w:after="40"/>
        <w:ind w:left="259"/>
      </w:pPr>
      <w:r>
        <w:t>Mesures de charge de revue</w:t>
      </w:r>
    </w:p>
    <w:p>
      <w:pPr>
        <w:pStyle w:val="Heading2"/>
        <w:keepNext/>
      </w:pPr>
      <w:r>
        <w:t>14. Red teaming et tests de sécurité agentique</w:t>
      </w:r>
    </w:p>
    <w:tbl>
      <w:tblPr>
        <w:tblW w:type="auto" w:w="0"/>
        <w:jc w:val="center"/>
        <w:tblLayout w:type="fixed"/>
        <w:tblLook w:firstColumn="1" w:firstRow="1" w:lastColumn="0" w:lastRow="0" w:noHBand="0" w:noVBand="1" w:val="04A0"/>
      </w:tblPr>
      <w:tblGrid>
        <w:gridCol w:w="2232"/>
        <w:gridCol w:w="8568"/>
      </w:tblGrid>
      <w:tr>
        <w:trPr>
          <w:cantSplit/>
          <w:tblHeader w:val="true"/>
          <w:cantSplit/>
        </w:trPr>
        <w:tc>
          <w:tcPr>
            <w:tcW w:type="dxa" w:w="5040"/>
            <w:shd w:fill="D9EAF7"/>
            <w:vAlign w:val="center"/>
            <w:tcBorders>
              <w:top w:val="single" w:sz="4" w:color="B4C7E7"/>
              <w:left w:val="single" w:sz="4" w:color="B4C7E7"/>
              <w:bottom w:val="single" w:sz="4" w:color="B4C7E7"/>
              <w:right w:val="single" w:sz="4" w:color="B4C7E7"/>
            </w:tcBorders>
          </w:tcPr>
          <w:p>
            <w:pPr>
              <w:spacing w:after="40"/>
            </w:pPr>
            <w:r>
              <w:rPr>
                <w:b/>
                <w:color w:val="1F4E79"/>
                <w:sz w:val="18"/>
              </w:rPr>
              <w:t>Priorité</w:t>
            </w:r>
          </w:p>
        </w:tc>
        <w:tc>
          <w:tcPr>
            <w:tcW w:type="dxa" w:w="5040"/>
            <w:vAlign w:val="center"/>
            <w:tcBorders>
              <w:top w:val="single" w:sz="4" w:color="B4C7E7"/>
              <w:left w:val="single" w:sz="4" w:color="B4C7E7"/>
              <w:bottom w:val="single" w:sz="4" w:color="B4C7E7"/>
              <w:right w:val="single" w:sz="4" w:color="B4C7E7"/>
            </w:tcBorders>
          </w:tcPr>
          <w:p>
            <w:pPr>
              <w:spacing w:after="40"/>
            </w:pPr>
            <w:r>
              <w:rPr>
                <w:sz w:val="18"/>
              </w:rPr>
              <w:t>P2</w:t>
            </w:r>
          </w:p>
        </w:tc>
      </w:tr>
      <w:tr>
        <w:trPr>
          <w:cantSplit/>
          <w:cantSplit/>
        </w:trPr>
        <w:tc>
          <w:tcPr>
            <w:tcW w:type="dxa" w:w="5040"/>
            <w:shd w:fill="D9EAF7"/>
            <w:vAlign w:val="center"/>
            <w:tcBorders>
              <w:top w:val="single" w:sz="4" w:color="B4C7E7"/>
              <w:left w:val="single" w:sz="4" w:color="B4C7E7"/>
              <w:bottom w:val="single" w:sz="4" w:color="B4C7E7"/>
              <w:right w:val="single" w:sz="4" w:color="B4C7E7"/>
            </w:tcBorders>
          </w:tcPr>
          <w:p>
            <w:pPr>
              <w:spacing w:after="40"/>
            </w:pPr>
            <w:r>
              <w:rPr>
                <w:b/>
                <w:color w:val="1F4E79"/>
                <w:sz w:val="18"/>
              </w:rPr>
              <w:t>Objectif</w:t>
            </w:r>
          </w:p>
        </w:tc>
        <w:tc>
          <w:tcPr>
            <w:tcW w:type="dxa" w:w="5040"/>
            <w:vAlign w:val="center"/>
            <w:tcBorders>
              <w:top w:val="single" w:sz="4" w:color="B4C7E7"/>
              <w:left w:val="single" w:sz="4" w:color="B4C7E7"/>
              <w:bottom w:val="single" w:sz="4" w:color="B4C7E7"/>
              <w:right w:val="single" w:sz="4" w:color="B4C7E7"/>
            </w:tcBorders>
          </w:tcPr>
          <w:p>
            <w:pPr>
              <w:spacing w:after="40"/>
            </w:pPr>
            <w:r>
              <w:rPr>
                <w:sz w:val="18"/>
              </w:rPr>
              <w:t>Valider régulièrement que les contrôles résistent aux injections, dérives, compromissions et effets en cascade.</w:t>
            </w:r>
          </w:p>
        </w:tc>
      </w:tr>
      <w:tr>
        <w:trPr>
          <w:cantSplit/>
          <w:cantSplit/>
        </w:trPr>
        <w:tc>
          <w:tcPr>
            <w:tcW w:type="dxa" w:w="5040"/>
            <w:shd w:fill="D9EAF7"/>
            <w:vAlign w:val="center"/>
            <w:tcBorders>
              <w:top w:val="single" w:sz="4" w:color="B4C7E7"/>
              <w:left w:val="single" w:sz="4" w:color="B4C7E7"/>
              <w:bottom w:val="single" w:sz="4" w:color="B4C7E7"/>
              <w:right w:val="single" w:sz="4" w:color="B4C7E7"/>
            </w:tcBorders>
          </w:tcPr>
          <w:p>
            <w:pPr>
              <w:spacing w:after="40"/>
            </w:pPr>
            <w:r>
              <w:rPr>
                <w:b/>
                <w:color w:val="1F4E79"/>
                <w:sz w:val="18"/>
              </w:rPr>
              <w:t>État actuel</w:t>
            </w:r>
          </w:p>
        </w:tc>
        <w:tc>
          <w:tcPr>
            <w:tcW w:type="dxa" w:w="5040"/>
            <w:vAlign w:val="center"/>
            <w:tcBorders>
              <w:top w:val="single" w:sz="4" w:color="B4C7E7"/>
              <w:left w:val="single" w:sz="4" w:color="B4C7E7"/>
              <w:bottom w:val="single" w:sz="4" w:color="B4C7E7"/>
              <w:right w:val="single" w:sz="4" w:color="B4C7E7"/>
            </w:tcBorders>
          </w:tcPr>
          <w:p>
            <w:pPr>
              <w:spacing w:after="40"/>
            </w:pPr>
            <w:r>
              <w:rPr>
                <w:sz w:val="18"/>
              </w:rPr>
              <w:t>Des tests négatifs existent ; une campagne structurée doit être prévue avant industrialisation.</w:t>
            </w:r>
          </w:p>
        </w:tc>
      </w:tr>
    </w:tbl>
    <w:p>
      <w:pPr>
        <w:spacing w:before="80"/>
      </w:pPr>
      <w:r>
        <w:rPr>
          <w:b/>
          <w:color w:val="1F4E79"/>
        </w:rPr>
        <w:t>Travaux à réaliser</w:t>
      </w:r>
    </w:p>
    <w:p>
      <w:pPr>
        <w:pStyle w:val="ListBullet"/>
        <w:spacing w:after="40"/>
        <w:ind w:left="259"/>
      </w:pPr>
      <w:r>
        <w:t>Créer un catalogue de scénarios : injection indirecte, fuite, détournement d’outil, usurpation, rejeu, saturation et corruption de mémoire.</w:t>
      </w:r>
    </w:p>
    <w:p>
      <w:pPr>
        <w:pStyle w:val="ListBullet"/>
        <w:spacing w:after="40"/>
        <w:ind w:left="259"/>
      </w:pPr>
      <w:r>
        <w:t>Tester un agent compromis et vérifier que le blast radius reste limité.</w:t>
      </w:r>
    </w:p>
    <w:p>
      <w:pPr>
        <w:pStyle w:val="ListBullet"/>
        <w:spacing w:after="40"/>
        <w:ind w:left="259"/>
      </w:pPr>
      <w:r>
        <w:t>Évaluer les nouvelles versions de modèles avec les mêmes scénarios.</w:t>
      </w:r>
    </w:p>
    <w:p>
      <w:pPr>
        <w:pStyle w:val="ListBullet"/>
        <w:spacing w:after="40"/>
        <w:ind w:left="259"/>
      </w:pPr>
      <w:r>
        <w:t>Tracer les écarts et actions correctives.</w:t>
      </w:r>
    </w:p>
    <w:p>
      <w:pPr>
        <w:pStyle w:val="ListBullet"/>
        <w:spacing w:after="40"/>
        <w:ind w:left="259"/>
      </w:pPr>
      <w:r>
        <w:t>Répéter la campagne après chaque changement majeur.</w:t>
      </w:r>
    </w:p>
    <w:p>
      <w:pPr>
        <w:spacing w:before="60"/>
      </w:pPr>
      <w:r>
        <w:rPr>
          <w:b/>
          <w:color w:val="1F4E79"/>
        </w:rPr>
        <w:t>Critères d'acceptation</w:t>
      </w:r>
    </w:p>
    <w:p>
      <w:pPr>
        <w:pStyle w:val="ListBullet"/>
        <w:spacing w:after="40"/>
        <w:ind w:left="259"/>
      </w:pPr>
      <w:r>
        <w:t>100 % des scénarios critiques interdits sont bloqués.</w:t>
      </w:r>
    </w:p>
    <w:p>
      <w:pPr>
        <w:pStyle w:val="ListBullet"/>
        <w:spacing w:after="40"/>
        <w:ind w:left="259"/>
      </w:pPr>
      <w:r>
        <w:t>Aucun secret ou donnée interdite n’apparaît dans les sorties.</w:t>
      </w:r>
    </w:p>
    <w:p>
      <w:pPr>
        <w:pStyle w:val="ListBullet"/>
        <w:spacing w:after="40"/>
        <w:ind w:left="259"/>
      </w:pPr>
      <w:r>
        <w:t>Les résultats sont reproductibles et versionnés.</w:t>
      </w:r>
    </w:p>
    <w:p>
      <w:pPr>
        <w:pStyle w:val="ListBullet"/>
        <w:spacing w:after="40"/>
        <w:ind w:left="259"/>
      </w:pPr>
      <w:r>
        <w:t>Chaque échec produit une correction et un test de non-régression.</w:t>
      </w:r>
    </w:p>
    <w:p>
      <w:pPr>
        <w:spacing w:before="60"/>
      </w:pPr>
      <w:r>
        <w:rPr>
          <w:b/>
          <w:color w:val="1F4E79"/>
        </w:rPr>
        <w:t>Preuves attendues</w:t>
      </w:r>
    </w:p>
    <w:p>
      <w:pPr>
        <w:pStyle w:val="ListBullet"/>
        <w:spacing w:after="40"/>
        <w:ind w:left="259"/>
      </w:pPr>
      <w:r>
        <w:t>Plan de red teaming</w:t>
      </w:r>
    </w:p>
    <w:p>
      <w:pPr>
        <w:pStyle w:val="ListBullet"/>
        <w:spacing w:after="40"/>
        <w:ind w:left="259"/>
      </w:pPr>
      <w:r>
        <w:t>Jeu de tests adverses</w:t>
      </w:r>
    </w:p>
    <w:p>
      <w:pPr>
        <w:pStyle w:val="ListBullet"/>
        <w:spacing w:after="40"/>
        <w:ind w:left="259"/>
      </w:pPr>
      <w:r>
        <w:t>Rapport de résultats</w:t>
      </w:r>
    </w:p>
    <w:p>
      <w:pPr>
        <w:pStyle w:val="ListBullet"/>
        <w:spacing w:after="40"/>
        <w:ind w:left="259"/>
      </w:pPr>
      <w:r>
        <w:t>Registre des corrections</w:t>
      </w:r>
    </w:p>
    <w:p>
      <w:pPr>
        <w:pStyle w:val="Heading1"/>
      </w:pPr>
      <w:r>
        <w:t>3. Backlog priorisé</w:t>
      </w:r>
    </w:p>
    <w:p>
      <w:pPr>
        <w:pStyle w:val="Heading2"/>
      </w:pPr>
      <w:r>
        <w:t>3.1 P0 - Avant la démonstration finale</w:t>
      </w:r>
    </w:p>
    <w:p>
      <w:pPr>
        <w:pStyle w:val="ListBullet"/>
        <w:spacing w:after="40"/>
        <w:ind w:left="259"/>
      </w:pPr>
      <w:r>
        <w:t>Centraliser les règles dans un Policy Engine avec refus par défaut.</w:t>
      </w:r>
    </w:p>
    <w:p>
      <w:pPr>
        <w:pStyle w:val="ListBullet"/>
        <w:spacing w:after="40"/>
        <w:ind w:left="259"/>
      </w:pPr>
      <w:r>
        <w:t>Mettre en place le RunContext isolé et sa durée de vie.</w:t>
      </w:r>
    </w:p>
    <w:p>
      <w:pPr>
        <w:pStyle w:val="ListBullet"/>
        <w:spacing w:after="40"/>
        <w:ind w:left="259"/>
      </w:pPr>
      <w:r>
        <w:t>Garantir la vérification indépendante contre les Evidence.</w:t>
      </w:r>
    </w:p>
    <w:p>
      <w:pPr>
        <w:pStyle w:val="ListBullet"/>
        <w:spacing w:after="40"/>
        <w:ind w:left="259"/>
      </w:pPr>
      <w:r>
        <w:t>Ajouter les budgets globaux et limites de concurrence.</w:t>
      </w:r>
    </w:p>
    <w:p>
      <w:pPr>
        <w:pStyle w:val="ListBullet"/>
        <w:spacing w:after="40"/>
        <w:ind w:left="259"/>
      </w:pPr>
      <w:r>
        <w:t>Protéger les prompts, objectifs et versions de configuration.</w:t>
      </w:r>
    </w:p>
    <w:p>
      <w:pPr>
        <w:pStyle w:val="ListBullet"/>
        <w:spacing w:after="40"/>
        <w:ind w:left="259"/>
      </w:pPr>
      <w:r>
        <w:t>Ajouter l’annulation d’un run et tester le circuit breaker minimal.</w:t>
      </w:r>
    </w:p>
    <w:p>
      <w:pPr>
        <w:pStyle w:val="ListBullet"/>
        <w:spacing w:after="40"/>
        <w:ind w:left="259"/>
      </w:pPr>
      <w:r>
        <w:t>Confirmer l’absence d’accès direct des LLM aux outils et secrets.</w:t>
      </w:r>
    </w:p>
    <w:p>
      <w:pPr>
        <w:pStyle w:val="Heading2"/>
      </w:pPr>
      <w:r>
        <w:t>3.2 P1 - Avant un pilote corporatif</w:t>
      </w:r>
    </w:p>
    <w:p>
      <w:pPr>
        <w:pStyle w:val="ListBullet"/>
        <w:spacing w:after="40"/>
        <w:ind w:left="259"/>
      </w:pPr>
      <w:r>
        <w:t>Déployer les identités distinctes, le coffre de secrets et la rotation.</w:t>
      </w:r>
    </w:p>
    <w:p>
      <w:pPr>
        <w:pStyle w:val="ListBullet"/>
        <w:spacing w:after="40"/>
        <w:ind w:left="259"/>
      </w:pPr>
      <w:r>
        <w:t>Activer TLS corporatif et l’intégrité des messages.</w:t>
      </w:r>
    </w:p>
    <w:p>
      <w:pPr>
        <w:pStyle w:val="ListBullet"/>
        <w:spacing w:after="40"/>
        <w:ind w:left="259"/>
      </w:pPr>
      <w:r>
        <w:t>Appliquer les règles de classification, résidence et rétention des données.</w:t>
      </w:r>
    </w:p>
    <w:p>
      <w:pPr>
        <w:pStyle w:val="ListBullet"/>
        <w:spacing w:after="40"/>
        <w:ind w:left="259"/>
      </w:pPr>
      <w:r>
        <w:t>Mettre en place le kill switch global et la désactivation par rôle.</w:t>
      </w:r>
    </w:p>
    <w:p>
      <w:pPr>
        <w:pStyle w:val="ListBullet"/>
        <w:spacing w:after="40"/>
        <w:ind w:left="259"/>
      </w:pPr>
      <w:r>
        <w:t>Créer le registre des modèles approuvés et vérifier les hashes.</w:t>
      </w:r>
    </w:p>
    <w:p>
      <w:pPr>
        <w:pStyle w:val="ListBullet"/>
        <w:spacing w:after="40"/>
        <w:ind w:left="259"/>
      </w:pPr>
      <w:r>
        <w:t>Renforcer l’intégrité des journaux et les alertes.</w:t>
      </w:r>
    </w:p>
    <w:p>
      <w:pPr>
        <w:pStyle w:val="ListBullet"/>
        <w:spacing w:after="40"/>
        <w:ind w:left="259"/>
      </w:pPr>
      <w:r>
        <w:t>Finaliser l’interface de supervision proportionnelle au risque.</w:t>
      </w:r>
    </w:p>
    <w:p>
      <w:pPr>
        <w:pStyle w:val="Heading2"/>
      </w:pPr>
      <w:r>
        <w:t>3.3 P2 - Industrialisation</w:t>
      </w:r>
    </w:p>
    <w:p>
      <w:pPr>
        <w:pStyle w:val="ListBullet"/>
        <w:spacing w:after="40"/>
        <w:ind w:left="259"/>
      </w:pPr>
      <w:r>
        <w:t>Exporter les traces vers le SIEM et définir des règles de détection.</w:t>
      </w:r>
    </w:p>
    <w:p>
      <w:pPr>
        <w:pStyle w:val="ListBullet"/>
        <w:spacing w:after="40"/>
        <w:ind w:left="259"/>
      </w:pPr>
      <w:r>
        <w:t>Ajouter la reprise persistante après redémarrage.</w:t>
      </w:r>
    </w:p>
    <w:p>
      <w:pPr>
        <w:pStyle w:val="ListBullet"/>
        <w:spacing w:after="40"/>
        <w:ind w:left="259"/>
      </w:pPr>
      <w:r>
        <w:t>Mettre en place une campagne périodique de red teaming.</w:t>
      </w:r>
    </w:p>
    <w:p>
      <w:pPr>
        <w:pStyle w:val="ListBullet"/>
        <w:spacing w:after="40"/>
        <w:ind w:left="259"/>
      </w:pPr>
      <w:r>
        <w:t>Surveiller la dérive des modèles et recalibrer les seuils.</w:t>
      </w:r>
    </w:p>
    <w:p>
      <w:pPr>
        <w:pStyle w:val="ListBullet"/>
        <w:spacing w:after="40"/>
        <w:ind w:left="259"/>
      </w:pPr>
      <w:r>
        <w:t>Maintenir un inventaire logiciel et un processus de sécurité supply chain.</w:t>
      </w:r>
    </w:p>
    <w:p>
      <w:pPr>
        <w:pStyle w:val="ListBullet"/>
        <w:spacing w:after="40"/>
        <w:ind w:left="259"/>
      </w:pPr>
      <w:r>
        <w:t>Évaluer un cadre de gouvernance plus complet si le nombre d’agents et d’intégrations augmente.</w:t>
      </w:r>
    </w:p>
    <w:p>
      <w:pPr>
        <w:pStyle w:val="Heading1"/>
      </w:pPr>
      <w:r>
        <w:t>4. Tests complémentaires à ajouter</w:t>
      </w:r>
    </w:p>
    <w:tbl>
      <w:tblPr>
        <w:tblW w:type="auto" w:w="0"/>
        <w:jc w:val="center"/>
        <w:tblLook w:firstColumn="1" w:firstRow="1" w:lastColumn="0" w:lastRow="0" w:noHBand="0" w:noVBand="1" w:val="04A0"/>
      </w:tblPr>
      <w:tblGrid>
        <w:gridCol w:w="2520"/>
        <w:gridCol w:w="2520"/>
        <w:gridCol w:w="2520"/>
        <w:gridCol w:w="2520"/>
      </w:tblGrid>
      <w:tr>
        <w:trPr>
          <w:cantSplit/>
          <w:tblHeader w:val="true"/>
          <w:cantSplit/>
        </w:trPr>
        <w:tc>
          <w:tcPr>
            <w:tcW w:type="dxa" w:w="2520"/>
            <w:shd w:fill="1F4E79"/>
            <w:vAlign w:val="center"/>
          </w:tcPr>
          <w:p>
            <w:pPr>
              <w:spacing w:after="40"/>
            </w:pPr>
            <w:r>
              <w:rPr>
                <w:b/>
                <w:color w:val="FFFFFF"/>
                <w:sz w:val="18"/>
              </w:rPr>
              <w:t>ID</w:t>
            </w:r>
          </w:p>
        </w:tc>
        <w:tc>
          <w:tcPr>
            <w:tcW w:type="dxa" w:w="2520"/>
            <w:shd w:fill="1F4E79"/>
            <w:vAlign w:val="center"/>
          </w:tcPr>
          <w:p>
            <w:pPr>
              <w:spacing w:after="40"/>
            </w:pPr>
            <w:r>
              <w:rPr>
                <w:b/>
                <w:color w:val="FFFFFF"/>
                <w:sz w:val="18"/>
              </w:rPr>
              <w:t>Scénario</w:t>
            </w:r>
          </w:p>
        </w:tc>
        <w:tc>
          <w:tcPr>
            <w:tcW w:type="dxa" w:w="2520"/>
            <w:shd w:fill="1F4E79"/>
            <w:vAlign w:val="center"/>
          </w:tcPr>
          <w:p>
            <w:pPr>
              <w:spacing w:after="40"/>
            </w:pPr>
            <w:r>
              <w:rPr>
                <w:b/>
                <w:color w:val="FFFFFF"/>
                <w:sz w:val="18"/>
              </w:rPr>
              <w:t>Résultat attendu</w:t>
            </w:r>
          </w:p>
        </w:tc>
        <w:tc>
          <w:tcPr>
            <w:tcW w:type="dxa" w:w="2520"/>
            <w:shd w:fill="1F4E79"/>
            <w:vAlign w:val="center"/>
          </w:tcPr>
          <w:p>
            <w:pPr>
              <w:spacing w:after="40"/>
            </w:pPr>
            <w:r>
              <w:rPr>
                <w:b/>
                <w:color w:val="FFFFFF"/>
                <w:sz w:val="18"/>
              </w:rPr>
              <w:t>Priorité</w:t>
            </w:r>
          </w:p>
        </w:tc>
      </w:tr>
      <w:tr>
        <w:trPr>
          <w:cantSplit/>
          <w:cantSplit/>
        </w:trPr>
        <w:tc>
          <w:tcPr>
            <w:tcW w:type="dxa" w:w="2520"/>
            <w:shd w:fill="D9EAF7"/>
            <w:tcBorders>
              <w:top w:val="single" w:sz="4" w:color="B4C7E7"/>
              <w:left w:val="single" w:sz="4" w:color="B4C7E7"/>
              <w:bottom w:val="single" w:sz="4" w:color="B4C7E7"/>
              <w:right w:val="single" w:sz="4" w:color="B4C7E7"/>
            </w:tcBorders>
            <w:vAlign w:val="center"/>
          </w:tcPr>
          <w:p>
            <w:pPr>
              <w:spacing w:after="40"/>
            </w:pPr>
            <w:r>
              <w:rPr>
                <w:b/>
                <w:sz w:val="18"/>
              </w:rPr>
              <w:t>AT-01</w:t>
            </w:r>
          </w:p>
        </w:tc>
        <w:tc>
          <w:tcPr>
            <w:tcW w:type="dxa" w:w="2520"/>
            <w:tcBorders>
              <w:top w:val="single" w:sz="4" w:color="B4C7E7"/>
              <w:left w:val="single" w:sz="4" w:color="B4C7E7"/>
              <w:bottom w:val="single" w:sz="4" w:color="B4C7E7"/>
              <w:right w:val="single" w:sz="4" w:color="B4C7E7"/>
            </w:tcBorders>
            <w:vAlign w:val="center"/>
          </w:tcPr>
          <w:p>
            <w:pPr>
              <w:spacing w:after="40"/>
            </w:pPr>
            <w:r>
              <w:rPr>
                <w:sz w:val="18"/>
              </w:rPr>
              <w:t>Une Evidence tente de modifier le prompt système</w:t>
            </w:r>
          </w:p>
        </w:tc>
        <w:tc>
          <w:tcPr>
            <w:tcW w:type="dxa" w:w="2520"/>
            <w:tcBorders>
              <w:top w:val="single" w:sz="4" w:color="B4C7E7"/>
              <w:left w:val="single" w:sz="4" w:color="B4C7E7"/>
              <w:bottom w:val="single" w:sz="4" w:color="B4C7E7"/>
              <w:right w:val="single" w:sz="4" w:color="B4C7E7"/>
            </w:tcBorders>
            <w:vAlign w:val="center"/>
          </w:tcPr>
          <w:p>
            <w:pPr>
              <w:spacing w:after="40"/>
            </w:pPr>
            <w:r>
              <w:rPr>
                <w:sz w:val="18"/>
              </w:rPr>
              <w:t>Instruction ignorée, événement PROMPT_INJECTION_BLOCKED</w:t>
            </w:r>
          </w:p>
        </w:tc>
        <w:tc>
          <w:tcPr>
            <w:tcW w:type="dxa" w:w="2520"/>
            <w:tcBorders>
              <w:top w:val="single" w:sz="4" w:color="B4C7E7"/>
              <w:left w:val="single" w:sz="4" w:color="B4C7E7"/>
              <w:bottom w:val="single" w:sz="4" w:color="B4C7E7"/>
              <w:right w:val="single" w:sz="4" w:color="B4C7E7"/>
            </w:tcBorders>
            <w:vAlign w:val="center"/>
          </w:tcPr>
          <w:p>
            <w:pPr>
              <w:spacing w:after="40"/>
            </w:pPr>
            <w:r>
              <w:rPr>
                <w:sz w:val="18"/>
              </w:rPr>
              <w:t>P0</w:t>
            </w:r>
          </w:p>
        </w:tc>
      </w:tr>
      <w:tr>
        <w:trPr>
          <w:cantSplit/>
          <w:cantSplit/>
        </w:trPr>
        <w:tc>
          <w:tcPr>
            <w:tcW w:type="dxa" w:w="2520"/>
            <w:shd w:fill="D9EAF7"/>
            <w:tcBorders>
              <w:top w:val="single" w:sz="4" w:color="B4C7E7"/>
              <w:left w:val="single" w:sz="4" w:color="B4C7E7"/>
              <w:bottom w:val="single" w:sz="4" w:color="B4C7E7"/>
              <w:right w:val="single" w:sz="4" w:color="B4C7E7"/>
            </w:tcBorders>
            <w:vAlign w:val="center"/>
          </w:tcPr>
          <w:p>
            <w:pPr>
              <w:spacing w:after="40"/>
            </w:pPr>
            <w:r>
              <w:rPr>
                <w:b/>
                <w:sz w:val="18"/>
              </w:rPr>
              <w:t>AT-02</w:t>
            </w:r>
          </w:p>
        </w:tc>
        <w:tc>
          <w:tcPr>
            <w:tcW w:type="dxa" w:w="2520"/>
            <w:tcBorders>
              <w:top w:val="single" w:sz="4" w:color="B4C7E7"/>
              <w:left w:val="single" w:sz="4" w:color="B4C7E7"/>
              <w:bottom w:val="single" w:sz="4" w:color="B4C7E7"/>
              <w:right w:val="single" w:sz="4" w:color="B4C7E7"/>
            </w:tcBorders>
            <w:vAlign w:val="center"/>
          </w:tcPr>
          <w:p>
            <w:pPr>
              <w:spacing w:after="40"/>
            </w:pPr>
            <w:r>
              <w:rPr>
                <w:sz w:val="18"/>
              </w:rPr>
              <w:t>Le Générateur demande un outil interdit</w:t>
            </w:r>
          </w:p>
        </w:tc>
        <w:tc>
          <w:tcPr>
            <w:tcW w:type="dxa" w:w="2520"/>
            <w:tcBorders>
              <w:top w:val="single" w:sz="4" w:color="B4C7E7"/>
              <w:left w:val="single" w:sz="4" w:color="B4C7E7"/>
              <w:bottom w:val="single" w:sz="4" w:color="B4C7E7"/>
              <w:right w:val="single" w:sz="4" w:color="B4C7E7"/>
            </w:tcBorders>
            <w:vAlign w:val="center"/>
          </w:tcPr>
          <w:p>
            <w:pPr>
              <w:spacing w:after="40"/>
            </w:pPr>
            <w:r>
              <w:rPr>
                <w:sz w:val="18"/>
              </w:rPr>
              <w:t>POLICY_BLOCKED, aucun appel exécuté</w:t>
            </w:r>
          </w:p>
        </w:tc>
        <w:tc>
          <w:tcPr>
            <w:tcW w:type="dxa" w:w="2520"/>
            <w:tcBorders>
              <w:top w:val="single" w:sz="4" w:color="B4C7E7"/>
              <w:left w:val="single" w:sz="4" w:color="B4C7E7"/>
              <w:bottom w:val="single" w:sz="4" w:color="B4C7E7"/>
              <w:right w:val="single" w:sz="4" w:color="B4C7E7"/>
            </w:tcBorders>
            <w:vAlign w:val="center"/>
          </w:tcPr>
          <w:p>
            <w:pPr>
              <w:spacing w:after="40"/>
            </w:pPr>
            <w:r>
              <w:rPr>
                <w:sz w:val="18"/>
              </w:rPr>
              <w:t>P0</w:t>
            </w:r>
          </w:p>
        </w:tc>
      </w:tr>
      <w:tr>
        <w:trPr>
          <w:cantSplit/>
          <w:cantSplit/>
        </w:trPr>
        <w:tc>
          <w:tcPr>
            <w:tcW w:type="dxa" w:w="2520"/>
            <w:shd w:fill="D9EAF7"/>
            <w:tcBorders>
              <w:top w:val="single" w:sz="4" w:color="B4C7E7"/>
              <w:left w:val="single" w:sz="4" w:color="B4C7E7"/>
              <w:bottom w:val="single" w:sz="4" w:color="B4C7E7"/>
              <w:right w:val="single" w:sz="4" w:color="B4C7E7"/>
            </w:tcBorders>
            <w:vAlign w:val="center"/>
          </w:tcPr>
          <w:p>
            <w:pPr>
              <w:spacing w:after="40"/>
            </w:pPr>
            <w:r>
              <w:rPr>
                <w:b/>
                <w:sz w:val="18"/>
              </w:rPr>
              <w:t>AT-03</w:t>
            </w:r>
          </w:p>
        </w:tc>
        <w:tc>
          <w:tcPr>
            <w:tcW w:type="dxa" w:w="2520"/>
            <w:tcBorders>
              <w:top w:val="single" w:sz="4" w:color="B4C7E7"/>
              <w:left w:val="single" w:sz="4" w:color="B4C7E7"/>
              <w:bottom w:val="single" w:sz="4" w:color="B4C7E7"/>
              <w:right w:val="single" w:sz="4" w:color="B4C7E7"/>
            </w:tcBorders>
            <w:vAlign w:val="center"/>
          </w:tcPr>
          <w:p>
            <w:pPr>
              <w:spacing w:after="40"/>
            </w:pPr>
            <w:r>
              <w:rPr>
                <w:sz w:val="18"/>
              </w:rPr>
              <w:t>Le quota global d’appels LLM est atteint</w:t>
            </w:r>
          </w:p>
        </w:tc>
        <w:tc>
          <w:tcPr>
            <w:tcW w:type="dxa" w:w="2520"/>
            <w:tcBorders>
              <w:top w:val="single" w:sz="4" w:color="B4C7E7"/>
              <w:left w:val="single" w:sz="4" w:color="B4C7E7"/>
              <w:bottom w:val="single" w:sz="4" w:color="B4C7E7"/>
              <w:right w:val="single" w:sz="4" w:color="B4C7E7"/>
            </w:tcBorders>
            <w:vAlign w:val="center"/>
          </w:tcPr>
          <w:p>
            <w:pPr>
              <w:spacing w:after="40"/>
            </w:pPr>
            <w:r>
              <w:rPr>
                <w:sz w:val="18"/>
              </w:rPr>
              <w:t>ACTION_BUDGET_EXCEEDED et arrêt propre</w:t>
            </w:r>
          </w:p>
        </w:tc>
        <w:tc>
          <w:tcPr>
            <w:tcW w:type="dxa" w:w="2520"/>
            <w:tcBorders>
              <w:top w:val="single" w:sz="4" w:color="B4C7E7"/>
              <w:left w:val="single" w:sz="4" w:color="B4C7E7"/>
              <w:bottom w:val="single" w:sz="4" w:color="B4C7E7"/>
              <w:right w:val="single" w:sz="4" w:color="B4C7E7"/>
            </w:tcBorders>
            <w:vAlign w:val="center"/>
          </w:tcPr>
          <w:p>
            <w:pPr>
              <w:spacing w:after="40"/>
            </w:pPr>
            <w:r>
              <w:rPr>
                <w:sz w:val="18"/>
              </w:rPr>
              <w:t>P0</w:t>
            </w:r>
          </w:p>
        </w:tc>
      </w:tr>
      <w:tr>
        <w:trPr>
          <w:cantSplit/>
          <w:cantSplit/>
        </w:trPr>
        <w:tc>
          <w:tcPr>
            <w:tcW w:type="dxa" w:w="2520"/>
            <w:shd w:fill="D9EAF7"/>
            <w:tcBorders>
              <w:top w:val="single" w:sz="4" w:color="B4C7E7"/>
              <w:left w:val="single" w:sz="4" w:color="B4C7E7"/>
              <w:bottom w:val="single" w:sz="4" w:color="B4C7E7"/>
              <w:right w:val="single" w:sz="4" w:color="B4C7E7"/>
            </w:tcBorders>
            <w:vAlign w:val="center"/>
          </w:tcPr>
          <w:p>
            <w:pPr>
              <w:spacing w:after="40"/>
            </w:pPr>
            <w:r>
              <w:rPr>
                <w:b/>
                <w:sz w:val="18"/>
              </w:rPr>
              <w:t>AT-04</w:t>
            </w:r>
          </w:p>
        </w:tc>
        <w:tc>
          <w:tcPr>
            <w:tcW w:type="dxa" w:w="2520"/>
            <w:tcBorders>
              <w:top w:val="single" w:sz="4" w:color="B4C7E7"/>
              <w:left w:val="single" w:sz="4" w:color="B4C7E7"/>
              <w:bottom w:val="single" w:sz="4" w:color="B4C7E7"/>
              <w:right w:val="single" w:sz="4" w:color="B4C7E7"/>
            </w:tcBorders>
            <w:vAlign w:val="center"/>
          </w:tcPr>
          <w:p>
            <w:pPr>
              <w:spacing w:after="40"/>
            </w:pPr>
            <w:r>
              <w:rPr>
                <w:sz w:val="18"/>
              </w:rPr>
              <w:t>Un run tente d’accéder au RunContext d’un autre run</w:t>
            </w:r>
          </w:p>
        </w:tc>
        <w:tc>
          <w:tcPr>
            <w:tcW w:type="dxa" w:w="2520"/>
            <w:tcBorders>
              <w:top w:val="single" w:sz="4" w:color="B4C7E7"/>
              <w:left w:val="single" w:sz="4" w:color="B4C7E7"/>
              <w:bottom w:val="single" w:sz="4" w:color="B4C7E7"/>
              <w:right w:val="single" w:sz="4" w:color="B4C7E7"/>
            </w:tcBorders>
            <w:vAlign w:val="center"/>
          </w:tcPr>
          <w:p>
            <w:pPr>
              <w:spacing w:after="40"/>
            </w:pPr>
            <w:r>
              <w:rPr>
                <w:sz w:val="18"/>
              </w:rPr>
              <w:t>Accès refusé et alerte</w:t>
            </w:r>
          </w:p>
        </w:tc>
        <w:tc>
          <w:tcPr>
            <w:tcW w:type="dxa" w:w="2520"/>
            <w:tcBorders>
              <w:top w:val="single" w:sz="4" w:color="B4C7E7"/>
              <w:left w:val="single" w:sz="4" w:color="B4C7E7"/>
              <w:bottom w:val="single" w:sz="4" w:color="B4C7E7"/>
              <w:right w:val="single" w:sz="4" w:color="B4C7E7"/>
            </w:tcBorders>
            <w:vAlign w:val="center"/>
          </w:tcPr>
          <w:p>
            <w:pPr>
              <w:spacing w:after="40"/>
            </w:pPr>
            <w:r>
              <w:rPr>
                <w:sz w:val="18"/>
              </w:rPr>
              <w:t>P0</w:t>
            </w:r>
          </w:p>
        </w:tc>
      </w:tr>
      <w:tr>
        <w:trPr>
          <w:cantSplit/>
          <w:cantSplit/>
        </w:trPr>
        <w:tc>
          <w:tcPr>
            <w:tcW w:type="dxa" w:w="2520"/>
            <w:shd w:fill="D9EAF7"/>
            <w:tcBorders>
              <w:top w:val="single" w:sz="4" w:color="B4C7E7"/>
              <w:left w:val="single" w:sz="4" w:color="B4C7E7"/>
              <w:bottom w:val="single" w:sz="4" w:color="B4C7E7"/>
              <w:right w:val="single" w:sz="4" w:color="B4C7E7"/>
            </w:tcBorders>
            <w:vAlign w:val="center"/>
          </w:tcPr>
          <w:p>
            <w:pPr>
              <w:spacing w:after="40"/>
            </w:pPr>
            <w:r>
              <w:rPr>
                <w:b/>
                <w:sz w:val="18"/>
              </w:rPr>
              <w:t>AT-05</w:t>
            </w:r>
          </w:p>
        </w:tc>
        <w:tc>
          <w:tcPr>
            <w:tcW w:type="dxa" w:w="2520"/>
            <w:tcBorders>
              <w:top w:val="single" w:sz="4" w:color="B4C7E7"/>
              <w:left w:val="single" w:sz="4" w:color="B4C7E7"/>
              <w:bottom w:val="single" w:sz="4" w:color="B4C7E7"/>
              <w:right w:val="single" w:sz="4" w:color="B4C7E7"/>
            </w:tcBorders>
            <w:vAlign w:val="center"/>
          </w:tcPr>
          <w:p>
            <w:pPr>
              <w:spacing w:after="40"/>
            </w:pPr>
            <w:r>
              <w:rPr>
                <w:sz w:val="18"/>
              </w:rPr>
              <w:t>Claim contenant un chiffre absent des Evidence</w:t>
            </w:r>
          </w:p>
        </w:tc>
        <w:tc>
          <w:tcPr>
            <w:tcW w:type="dxa" w:w="2520"/>
            <w:tcBorders>
              <w:top w:val="single" w:sz="4" w:color="B4C7E7"/>
              <w:left w:val="single" w:sz="4" w:color="B4C7E7"/>
              <w:bottom w:val="single" w:sz="4" w:color="B4C7E7"/>
              <w:right w:val="single" w:sz="4" w:color="B4C7E7"/>
            </w:tcBorders>
            <w:vAlign w:val="center"/>
          </w:tcPr>
          <w:p>
            <w:pPr>
              <w:spacing w:after="40"/>
            </w:pPr>
            <w:r>
              <w:rPr>
                <w:sz w:val="18"/>
              </w:rPr>
              <w:t>Claim rejeté ou marqué non supporté</w:t>
            </w:r>
          </w:p>
        </w:tc>
        <w:tc>
          <w:tcPr>
            <w:tcW w:type="dxa" w:w="2520"/>
            <w:tcBorders>
              <w:top w:val="single" w:sz="4" w:color="B4C7E7"/>
              <w:left w:val="single" w:sz="4" w:color="B4C7E7"/>
              <w:bottom w:val="single" w:sz="4" w:color="B4C7E7"/>
              <w:right w:val="single" w:sz="4" w:color="B4C7E7"/>
            </w:tcBorders>
            <w:vAlign w:val="center"/>
          </w:tcPr>
          <w:p>
            <w:pPr>
              <w:spacing w:after="40"/>
            </w:pPr>
            <w:r>
              <w:rPr>
                <w:sz w:val="18"/>
              </w:rPr>
              <w:t>P0</w:t>
            </w:r>
          </w:p>
        </w:tc>
      </w:tr>
      <w:tr>
        <w:trPr>
          <w:cantSplit/>
          <w:cantSplit/>
        </w:trPr>
        <w:tc>
          <w:tcPr>
            <w:tcW w:type="dxa" w:w="2520"/>
            <w:shd w:fill="D9EAF7"/>
            <w:tcBorders>
              <w:top w:val="single" w:sz="4" w:color="B4C7E7"/>
              <w:left w:val="single" w:sz="4" w:color="B4C7E7"/>
              <w:bottom w:val="single" w:sz="4" w:color="B4C7E7"/>
              <w:right w:val="single" w:sz="4" w:color="B4C7E7"/>
            </w:tcBorders>
            <w:vAlign w:val="center"/>
          </w:tcPr>
          <w:p>
            <w:pPr>
              <w:spacing w:after="40"/>
            </w:pPr>
            <w:r>
              <w:rPr>
                <w:b/>
                <w:sz w:val="18"/>
              </w:rPr>
              <w:t>AT-06</w:t>
            </w:r>
          </w:p>
        </w:tc>
        <w:tc>
          <w:tcPr>
            <w:tcW w:type="dxa" w:w="2520"/>
            <w:tcBorders>
              <w:top w:val="single" w:sz="4" w:color="B4C7E7"/>
              <w:left w:val="single" w:sz="4" w:color="B4C7E7"/>
              <w:bottom w:val="single" w:sz="4" w:color="B4C7E7"/>
              <w:right w:val="single" w:sz="4" w:color="B4C7E7"/>
            </w:tcBorders>
            <w:vAlign w:val="center"/>
          </w:tcPr>
          <w:p>
            <w:pPr>
              <w:spacing w:after="40"/>
            </w:pPr>
            <w:r>
              <w:rPr>
                <w:sz w:val="18"/>
              </w:rPr>
              <w:t>Annulation d’un workflow pendant la vérification</w:t>
            </w:r>
          </w:p>
        </w:tc>
        <w:tc>
          <w:tcPr>
            <w:tcW w:type="dxa" w:w="2520"/>
            <w:tcBorders>
              <w:top w:val="single" w:sz="4" w:color="B4C7E7"/>
              <w:left w:val="single" w:sz="4" w:color="B4C7E7"/>
              <w:bottom w:val="single" w:sz="4" w:color="B4C7E7"/>
              <w:right w:val="single" w:sz="4" w:color="B4C7E7"/>
            </w:tcBorders>
            <w:vAlign w:val="center"/>
          </w:tcPr>
          <w:p>
            <w:pPr>
              <w:spacing w:after="40"/>
            </w:pPr>
            <w:r>
              <w:rPr>
                <w:sz w:val="18"/>
              </w:rPr>
              <w:t>État CANCELLED, aucune décision finale</w:t>
            </w:r>
          </w:p>
        </w:tc>
        <w:tc>
          <w:tcPr>
            <w:tcW w:type="dxa" w:w="2520"/>
            <w:tcBorders>
              <w:top w:val="single" w:sz="4" w:color="B4C7E7"/>
              <w:left w:val="single" w:sz="4" w:color="B4C7E7"/>
              <w:bottom w:val="single" w:sz="4" w:color="B4C7E7"/>
              <w:right w:val="single" w:sz="4" w:color="B4C7E7"/>
            </w:tcBorders>
            <w:vAlign w:val="center"/>
          </w:tcPr>
          <w:p>
            <w:pPr>
              <w:spacing w:after="40"/>
            </w:pPr>
            <w:r>
              <w:rPr>
                <w:sz w:val="18"/>
              </w:rPr>
              <w:t>P0</w:t>
            </w:r>
          </w:p>
        </w:tc>
      </w:tr>
      <w:tr>
        <w:trPr>
          <w:cantSplit/>
          <w:cantSplit/>
        </w:trPr>
        <w:tc>
          <w:tcPr>
            <w:tcW w:type="dxa" w:w="2520"/>
            <w:shd w:fill="D9EAF7"/>
            <w:tcBorders>
              <w:top w:val="single" w:sz="4" w:color="B4C7E7"/>
              <w:left w:val="single" w:sz="4" w:color="B4C7E7"/>
              <w:bottom w:val="single" w:sz="4" w:color="B4C7E7"/>
              <w:right w:val="single" w:sz="4" w:color="B4C7E7"/>
            </w:tcBorders>
            <w:vAlign w:val="center"/>
          </w:tcPr>
          <w:p>
            <w:pPr>
              <w:spacing w:after="40"/>
            </w:pPr>
            <w:r>
              <w:rPr>
                <w:b/>
                <w:sz w:val="18"/>
              </w:rPr>
              <w:t>AT-07</w:t>
            </w:r>
          </w:p>
        </w:tc>
        <w:tc>
          <w:tcPr>
            <w:tcW w:type="dxa" w:w="2520"/>
            <w:tcBorders>
              <w:top w:val="single" w:sz="4" w:color="B4C7E7"/>
              <w:left w:val="single" w:sz="4" w:color="B4C7E7"/>
              <w:bottom w:val="single" w:sz="4" w:color="B4C7E7"/>
              <w:right w:val="single" w:sz="4" w:color="B4C7E7"/>
            </w:tcBorders>
            <w:vAlign w:val="center"/>
          </w:tcPr>
          <w:p>
            <w:pPr>
              <w:spacing w:after="40"/>
            </w:pPr>
            <w:r>
              <w:rPr>
                <w:sz w:val="18"/>
              </w:rPr>
              <w:t>Token du Vérificateur utilisé pour le Validateur</w:t>
            </w:r>
          </w:p>
        </w:tc>
        <w:tc>
          <w:tcPr>
            <w:tcW w:type="dxa" w:w="2520"/>
            <w:tcBorders>
              <w:top w:val="single" w:sz="4" w:color="B4C7E7"/>
              <w:left w:val="single" w:sz="4" w:color="B4C7E7"/>
              <w:bottom w:val="single" w:sz="4" w:color="B4C7E7"/>
              <w:right w:val="single" w:sz="4" w:color="B4C7E7"/>
            </w:tcBorders>
            <w:vAlign w:val="center"/>
          </w:tcPr>
          <w:p>
            <w:pPr>
              <w:spacing w:after="40"/>
            </w:pPr>
            <w:r>
              <w:rPr>
                <w:sz w:val="18"/>
              </w:rPr>
              <w:t>Authentification ou autorisation refusée</w:t>
            </w:r>
          </w:p>
        </w:tc>
        <w:tc>
          <w:tcPr>
            <w:tcW w:type="dxa" w:w="2520"/>
            <w:tcBorders>
              <w:top w:val="single" w:sz="4" w:color="B4C7E7"/>
              <w:left w:val="single" w:sz="4" w:color="B4C7E7"/>
              <w:bottom w:val="single" w:sz="4" w:color="B4C7E7"/>
              <w:right w:val="single" w:sz="4" w:color="B4C7E7"/>
            </w:tcBorders>
            <w:vAlign w:val="center"/>
          </w:tcPr>
          <w:p>
            <w:pPr>
              <w:spacing w:after="40"/>
            </w:pPr>
            <w:r>
              <w:rPr>
                <w:sz w:val="18"/>
              </w:rPr>
              <w:t>P1</w:t>
            </w:r>
          </w:p>
        </w:tc>
      </w:tr>
      <w:tr>
        <w:trPr>
          <w:cantSplit/>
          <w:cantSplit/>
        </w:trPr>
        <w:tc>
          <w:tcPr>
            <w:tcW w:type="dxa" w:w="2520"/>
            <w:shd w:fill="D9EAF7"/>
            <w:tcBorders>
              <w:top w:val="single" w:sz="4" w:color="B4C7E7"/>
              <w:left w:val="single" w:sz="4" w:color="B4C7E7"/>
              <w:bottom w:val="single" w:sz="4" w:color="B4C7E7"/>
              <w:right w:val="single" w:sz="4" w:color="B4C7E7"/>
            </w:tcBorders>
            <w:vAlign w:val="center"/>
          </w:tcPr>
          <w:p>
            <w:pPr>
              <w:spacing w:after="40"/>
            </w:pPr>
            <w:r>
              <w:rPr>
                <w:b/>
                <w:sz w:val="18"/>
              </w:rPr>
              <w:t>AT-08</w:t>
            </w:r>
          </w:p>
        </w:tc>
        <w:tc>
          <w:tcPr>
            <w:tcW w:type="dxa" w:w="2520"/>
            <w:tcBorders>
              <w:top w:val="single" w:sz="4" w:color="B4C7E7"/>
              <w:left w:val="single" w:sz="4" w:color="B4C7E7"/>
              <w:bottom w:val="single" w:sz="4" w:color="B4C7E7"/>
              <w:right w:val="single" w:sz="4" w:color="B4C7E7"/>
            </w:tcBorders>
            <w:vAlign w:val="center"/>
          </w:tcPr>
          <w:p>
            <w:pPr>
              <w:spacing w:after="40"/>
            </w:pPr>
            <w:r>
              <w:rPr>
                <w:sz w:val="18"/>
              </w:rPr>
              <w:t>Message inter-agent modifié ou rejoué</w:t>
            </w:r>
          </w:p>
        </w:tc>
        <w:tc>
          <w:tcPr>
            <w:tcW w:type="dxa" w:w="2520"/>
            <w:tcBorders>
              <w:top w:val="single" w:sz="4" w:color="B4C7E7"/>
              <w:left w:val="single" w:sz="4" w:color="B4C7E7"/>
              <w:bottom w:val="single" w:sz="4" w:color="B4C7E7"/>
              <w:right w:val="single" w:sz="4" w:color="B4C7E7"/>
            </w:tcBorders>
            <w:vAlign w:val="center"/>
          </w:tcPr>
          <w:p>
            <w:pPr>
              <w:spacing w:after="40"/>
            </w:pPr>
            <w:r>
              <w:rPr>
                <w:sz w:val="18"/>
              </w:rPr>
              <w:t>Intégrité invalide, message rejeté</w:t>
            </w:r>
          </w:p>
        </w:tc>
        <w:tc>
          <w:tcPr>
            <w:tcW w:type="dxa" w:w="2520"/>
            <w:tcBorders>
              <w:top w:val="single" w:sz="4" w:color="B4C7E7"/>
              <w:left w:val="single" w:sz="4" w:color="B4C7E7"/>
              <w:bottom w:val="single" w:sz="4" w:color="B4C7E7"/>
              <w:right w:val="single" w:sz="4" w:color="B4C7E7"/>
            </w:tcBorders>
            <w:vAlign w:val="center"/>
          </w:tcPr>
          <w:p>
            <w:pPr>
              <w:spacing w:after="40"/>
            </w:pPr>
            <w:r>
              <w:rPr>
                <w:sz w:val="18"/>
              </w:rPr>
              <w:t>P1</w:t>
            </w:r>
          </w:p>
        </w:tc>
      </w:tr>
      <w:tr>
        <w:trPr>
          <w:cantSplit/>
          <w:cantSplit/>
        </w:trPr>
        <w:tc>
          <w:tcPr>
            <w:tcW w:type="dxa" w:w="2520"/>
            <w:shd w:fill="D9EAF7"/>
            <w:tcBorders>
              <w:top w:val="single" w:sz="4" w:color="B4C7E7"/>
              <w:left w:val="single" w:sz="4" w:color="B4C7E7"/>
              <w:bottom w:val="single" w:sz="4" w:color="B4C7E7"/>
              <w:right w:val="single" w:sz="4" w:color="B4C7E7"/>
            </w:tcBorders>
            <w:vAlign w:val="center"/>
          </w:tcPr>
          <w:p>
            <w:pPr>
              <w:spacing w:after="40"/>
            </w:pPr>
            <w:r>
              <w:rPr>
                <w:b/>
                <w:sz w:val="18"/>
              </w:rPr>
              <w:t>AT-09</w:t>
            </w:r>
          </w:p>
        </w:tc>
        <w:tc>
          <w:tcPr>
            <w:tcW w:type="dxa" w:w="2520"/>
            <w:tcBorders>
              <w:top w:val="single" w:sz="4" w:color="B4C7E7"/>
              <w:left w:val="single" w:sz="4" w:color="B4C7E7"/>
              <w:bottom w:val="single" w:sz="4" w:color="B4C7E7"/>
              <w:right w:val="single" w:sz="4" w:color="B4C7E7"/>
            </w:tcBorders>
            <w:vAlign w:val="center"/>
          </w:tcPr>
          <w:p>
            <w:pPr>
              <w:spacing w:after="40"/>
            </w:pPr>
            <w:r>
              <w:rPr>
                <w:sz w:val="18"/>
              </w:rPr>
              <w:t>Evidence confidentielle routée vers une API externe</w:t>
            </w:r>
          </w:p>
        </w:tc>
        <w:tc>
          <w:tcPr>
            <w:tcW w:type="dxa" w:w="2520"/>
            <w:tcBorders>
              <w:top w:val="single" w:sz="4" w:color="B4C7E7"/>
              <w:left w:val="single" w:sz="4" w:color="B4C7E7"/>
              <w:bottom w:val="single" w:sz="4" w:color="B4C7E7"/>
              <w:right w:val="single" w:sz="4" w:color="B4C7E7"/>
            </w:tcBorders>
            <w:vAlign w:val="center"/>
          </w:tcPr>
          <w:p>
            <w:pPr>
              <w:spacing w:after="40"/>
            </w:pPr>
            <w:r>
              <w:rPr>
                <w:sz w:val="18"/>
              </w:rPr>
              <w:t>DATA_POLICY_BLOCKED</w:t>
            </w:r>
          </w:p>
        </w:tc>
        <w:tc>
          <w:tcPr>
            <w:tcW w:type="dxa" w:w="2520"/>
            <w:tcBorders>
              <w:top w:val="single" w:sz="4" w:color="B4C7E7"/>
              <w:left w:val="single" w:sz="4" w:color="B4C7E7"/>
              <w:bottom w:val="single" w:sz="4" w:color="B4C7E7"/>
              <w:right w:val="single" w:sz="4" w:color="B4C7E7"/>
            </w:tcBorders>
            <w:vAlign w:val="center"/>
          </w:tcPr>
          <w:p>
            <w:pPr>
              <w:spacing w:after="40"/>
            </w:pPr>
            <w:r>
              <w:rPr>
                <w:sz w:val="18"/>
              </w:rPr>
              <w:t>P1</w:t>
            </w:r>
          </w:p>
        </w:tc>
      </w:tr>
      <w:tr>
        <w:trPr>
          <w:cantSplit/>
          <w:cantSplit/>
        </w:trPr>
        <w:tc>
          <w:tcPr>
            <w:tcW w:type="dxa" w:w="2520"/>
            <w:shd w:fill="D9EAF7"/>
            <w:tcBorders>
              <w:top w:val="single" w:sz="4" w:color="B4C7E7"/>
              <w:left w:val="single" w:sz="4" w:color="B4C7E7"/>
              <w:bottom w:val="single" w:sz="4" w:color="B4C7E7"/>
              <w:right w:val="single" w:sz="4" w:color="B4C7E7"/>
            </w:tcBorders>
            <w:vAlign w:val="center"/>
          </w:tcPr>
          <w:p>
            <w:pPr>
              <w:spacing w:after="40"/>
            </w:pPr>
            <w:r>
              <w:rPr>
                <w:b/>
                <w:sz w:val="18"/>
              </w:rPr>
              <w:t>AT-10</w:t>
            </w:r>
          </w:p>
        </w:tc>
        <w:tc>
          <w:tcPr>
            <w:tcW w:type="dxa" w:w="2520"/>
            <w:tcBorders>
              <w:top w:val="single" w:sz="4" w:color="B4C7E7"/>
              <w:left w:val="single" w:sz="4" w:color="B4C7E7"/>
              <w:bottom w:val="single" w:sz="4" w:color="B4C7E7"/>
              <w:right w:val="single" w:sz="4" w:color="B4C7E7"/>
            </w:tcBorders>
            <w:vAlign w:val="center"/>
          </w:tcPr>
          <w:p>
            <w:pPr>
              <w:spacing w:after="40"/>
            </w:pPr>
            <w:r>
              <w:rPr>
                <w:sz w:val="18"/>
              </w:rPr>
              <w:t>Modèle dont le hash n’est pas approuvé</w:t>
            </w:r>
          </w:p>
        </w:tc>
        <w:tc>
          <w:tcPr>
            <w:tcW w:type="dxa" w:w="2520"/>
            <w:tcBorders>
              <w:top w:val="single" w:sz="4" w:color="B4C7E7"/>
              <w:left w:val="single" w:sz="4" w:color="B4C7E7"/>
              <w:bottom w:val="single" w:sz="4" w:color="B4C7E7"/>
              <w:right w:val="single" w:sz="4" w:color="B4C7E7"/>
            </w:tcBorders>
            <w:vAlign w:val="center"/>
          </w:tcPr>
          <w:p>
            <w:pPr>
              <w:spacing w:after="40"/>
            </w:pPr>
            <w:r>
              <w:rPr>
                <w:sz w:val="18"/>
              </w:rPr>
              <w:t>Rôle désactivé, run non démarré</w:t>
            </w:r>
          </w:p>
        </w:tc>
        <w:tc>
          <w:tcPr>
            <w:tcW w:type="dxa" w:w="2520"/>
            <w:tcBorders>
              <w:top w:val="single" w:sz="4" w:color="B4C7E7"/>
              <w:left w:val="single" w:sz="4" w:color="B4C7E7"/>
              <w:bottom w:val="single" w:sz="4" w:color="B4C7E7"/>
              <w:right w:val="single" w:sz="4" w:color="B4C7E7"/>
            </w:tcBorders>
            <w:vAlign w:val="center"/>
          </w:tcPr>
          <w:p>
            <w:pPr>
              <w:spacing w:after="40"/>
            </w:pPr>
            <w:r>
              <w:rPr>
                <w:sz w:val="18"/>
              </w:rPr>
              <w:t>P1</w:t>
            </w:r>
          </w:p>
        </w:tc>
      </w:tr>
      <w:tr>
        <w:trPr>
          <w:cantSplit/>
          <w:cantSplit/>
        </w:trPr>
        <w:tc>
          <w:tcPr>
            <w:tcW w:type="dxa" w:w="2520"/>
            <w:shd w:fill="D9EAF7"/>
            <w:tcBorders>
              <w:top w:val="single" w:sz="4" w:color="B4C7E7"/>
              <w:left w:val="single" w:sz="4" w:color="B4C7E7"/>
              <w:bottom w:val="single" w:sz="4" w:color="B4C7E7"/>
              <w:right w:val="single" w:sz="4" w:color="B4C7E7"/>
            </w:tcBorders>
            <w:vAlign w:val="center"/>
          </w:tcPr>
          <w:p>
            <w:pPr>
              <w:spacing w:after="40"/>
            </w:pPr>
            <w:r>
              <w:rPr>
                <w:b/>
                <w:sz w:val="18"/>
              </w:rPr>
              <w:t>AT-11</w:t>
            </w:r>
          </w:p>
        </w:tc>
        <w:tc>
          <w:tcPr>
            <w:tcW w:type="dxa" w:w="2520"/>
            <w:tcBorders>
              <w:top w:val="single" w:sz="4" w:color="B4C7E7"/>
              <w:left w:val="single" w:sz="4" w:color="B4C7E7"/>
              <w:bottom w:val="single" w:sz="4" w:color="B4C7E7"/>
              <w:right w:val="single" w:sz="4" w:color="B4C7E7"/>
            </w:tcBorders>
            <w:vAlign w:val="center"/>
          </w:tcPr>
          <w:p>
            <w:pPr>
              <w:spacing w:after="40"/>
            </w:pPr>
            <w:r>
              <w:rPr>
                <w:sz w:val="18"/>
              </w:rPr>
              <w:t>Tentative de modification d’un journal</w:t>
            </w:r>
          </w:p>
        </w:tc>
        <w:tc>
          <w:tcPr>
            <w:tcW w:type="dxa" w:w="2520"/>
            <w:tcBorders>
              <w:top w:val="single" w:sz="4" w:color="B4C7E7"/>
              <w:left w:val="single" w:sz="4" w:color="B4C7E7"/>
              <w:bottom w:val="single" w:sz="4" w:color="B4C7E7"/>
              <w:right w:val="single" w:sz="4" w:color="B4C7E7"/>
            </w:tcBorders>
            <w:vAlign w:val="center"/>
          </w:tcPr>
          <w:p>
            <w:pPr>
              <w:spacing w:after="40"/>
            </w:pPr>
            <w:r>
              <w:rPr>
                <w:sz w:val="18"/>
              </w:rPr>
              <w:t>Tampering détecté</w:t>
            </w:r>
          </w:p>
        </w:tc>
        <w:tc>
          <w:tcPr>
            <w:tcW w:type="dxa" w:w="2520"/>
            <w:tcBorders>
              <w:top w:val="single" w:sz="4" w:color="B4C7E7"/>
              <w:left w:val="single" w:sz="4" w:color="B4C7E7"/>
              <w:bottom w:val="single" w:sz="4" w:color="B4C7E7"/>
              <w:right w:val="single" w:sz="4" w:color="B4C7E7"/>
            </w:tcBorders>
            <w:vAlign w:val="center"/>
          </w:tcPr>
          <w:p>
            <w:pPr>
              <w:spacing w:after="40"/>
            </w:pPr>
            <w:r>
              <w:rPr>
                <w:sz w:val="18"/>
              </w:rPr>
              <w:t>P1</w:t>
            </w:r>
          </w:p>
        </w:tc>
      </w:tr>
      <w:tr>
        <w:trPr>
          <w:cantSplit/>
          <w:cantSplit/>
        </w:trPr>
        <w:tc>
          <w:tcPr>
            <w:tcW w:type="dxa" w:w="2520"/>
            <w:shd w:fill="D9EAF7"/>
            <w:tcBorders>
              <w:top w:val="single" w:sz="4" w:color="B4C7E7"/>
              <w:left w:val="single" w:sz="4" w:color="B4C7E7"/>
              <w:bottom w:val="single" w:sz="4" w:color="B4C7E7"/>
              <w:right w:val="single" w:sz="4" w:color="B4C7E7"/>
            </w:tcBorders>
            <w:vAlign w:val="center"/>
          </w:tcPr>
          <w:p>
            <w:pPr>
              <w:spacing w:after="40"/>
            </w:pPr>
            <w:r>
              <w:rPr>
                <w:b/>
                <w:sz w:val="18"/>
              </w:rPr>
              <w:t>AT-12</w:t>
            </w:r>
          </w:p>
        </w:tc>
        <w:tc>
          <w:tcPr>
            <w:tcW w:type="dxa" w:w="2520"/>
            <w:tcBorders>
              <w:top w:val="single" w:sz="4" w:color="B4C7E7"/>
              <w:left w:val="single" w:sz="4" w:color="B4C7E7"/>
              <w:bottom w:val="single" w:sz="4" w:color="B4C7E7"/>
              <w:right w:val="single" w:sz="4" w:color="B4C7E7"/>
            </w:tcBorders>
            <w:vAlign w:val="center"/>
          </w:tcPr>
          <w:p>
            <w:pPr>
              <w:spacing w:after="40"/>
            </w:pPr>
            <w:r>
              <w:rPr>
                <w:sz w:val="18"/>
              </w:rPr>
              <w:t>Trois sorties invalides consécutives d’un rôle</w:t>
            </w:r>
          </w:p>
        </w:tc>
        <w:tc>
          <w:tcPr>
            <w:tcW w:type="dxa" w:w="2520"/>
            <w:tcBorders>
              <w:top w:val="single" w:sz="4" w:color="B4C7E7"/>
              <w:left w:val="single" w:sz="4" w:color="B4C7E7"/>
              <w:bottom w:val="single" w:sz="4" w:color="B4C7E7"/>
              <w:right w:val="single" w:sz="4" w:color="B4C7E7"/>
            </w:tcBorders>
            <w:vAlign w:val="center"/>
          </w:tcPr>
          <w:p>
            <w:pPr>
              <w:spacing w:after="40"/>
            </w:pPr>
            <w:r>
              <w:rPr>
                <w:sz w:val="18"/>
              </w:rPr>
              <w:t>Circuit breaker ouvert, agent désactivé</w:t>
            </w:r>
          </w:p>
        </w:tc>
        <w:tc>
          <w:tcPr>
            <w:tcW w:type="dxa" w:w="2520"/>
            <w:tcBorders>
              <w:top w:val="single" w:sz="4" w:color="B4C7E7"/>
              <w:left w:val="single" w:sz="4" w:color="B4C7E7"/>
              <w:bottom w:val="single" w:sz="4" w:color="B4C7E7"/>
              <w:right w:val="single" w:sz="4" w:color="B4C7E7"/>
            </w:tcBorders>
            <w:vAlign w:val="center"/>
          </w:tcPr>
          <w:p>
            <w:pPr>
              <w:spacing w:after="40"/>
            </w:pPr>
            <w:r>
              <w:rPr>
                <w:sz w:val="18"/>
              </w:rPr>
              <w:t>P1</w:t>
            </w:r>
          </w:p>
        </w:tc>
      </w:tr>
      <w:tr>
        <w:trPr>
          <w:cantSplit/>
          <w:cantSplit/>
        </w:trPr>
        <w:tc>
          <w:tcPr>
            <w:tcW w:type="dxa" w:w="2520"/>
            <w:shd w:fill="D9EAF7"/>
            <w:tcBorders>
              <w:top w:val="single" w:sz="4" w:color="B4C7E7"/>
              <w:left w:val="single" w:sz="4" w:color="B4C7E7"/>
              <w:bottom w:val="single" w:sz="4" w:color="B4C7E7"/>
              <w:right w:val="single" w:sz="4" w:color="B4C7E7"/>
            </w:tcBorders>
            <w:vAlign w:val="center"/>
          </w:tcPr>
          <w:p>
            <w:pPr>
              <w:spacing w:after="40"/>
            </w:pPr>
            <w:r>
              <w:rPr>
                <w:b/>
                <w:sz w:val="18"/>
              </w:rPr>
              <w:t>AT-13</w:t>
            </w:r>
          </w:p>
        </w:tc>
        <w:tc>
          <w:tcPr>
            <w:tcW w:type="dxa" w:w="2520"/>
            <w:tcBorders>
              <w:top w:val="single" w:sz="4" w:color="B4C7E7"/>
              <w:left w:val="single" w:sz="4" w:color="B4C7E7"/>
              <w:bottom w:val="single" w:sz="4" w:color="B4C7E7"/>
              <w:right w:val="single" w:sz="4" w:color="B4C7E7"/>
            </w:tcBorders>
            <w:vAlign w:val="center"/>
          </w:tcPr>
          <w:p>
            <w:pPr>
              <w:spacing w:after="40"/>
            </w:pPr>
            <w:r>
              <w:rPr>
                <w:sz w:val="18"/>
              </w:rPr>
              <w:t>Agent compromis tente plusieurs actions interdites</w:t>
            </w:r>
          </w:p>
        </w:tc>
        <w:tc>
          <w:tcPr>
            <w:tcW w:type="dxa" w:w="2520"/>
            <w:tcBorders>
              <w:top w:val="single" w:sz="4" w:color="B4C7E7"/>
              <w:left w:val="single" w:sz="4" w:color="B4C7E7"/>
              <w:bottom w:val="single" w:sz="4" w:color="B4C7E7"/>
              <w:right w:val="single" w:sz="4" w:color="B4C7E7"/>
            </w:tcBorders>
            <w:vAlign w:val="center"/>
          </w:tcPr>
          <w:p>
            <w:pPr>
              <w:spacing w:after="40"/>
            </w:pPr>
            <w:r>
              <w:rPr>
                <w:sz w:val="18"/>
              </w:rPr>
              <w:t>Blast radius limité, kill switch disponible</w:t>
            </w:r>
          </w:p>
        </w:tc>
        <w:tc>
          <w:tcPr>
            <w:tcW w:type="dxa" w:w="2520"/>
            <w:tcBorders>
              <w:top w:val="single" w:sz="4" w:color="B4C7E7"/>
              <w:left w:val="single" w:sz="4" w:color="B4C7E7"/>
              <w:bottom w:val="single" w:sz="4" w:color="B4C7E7"/>
              <w:right w:val="single" w:sz="4" w:color="B4C7E7"/>
            </w:tcBorders>
            <w:vAlign w:val="center"/>
          </w:tcPr>
          <w:p>
            <w:pPr>
              <w:spacing w:after="40"/>
            </w:pPr>
            <w:r>
              <w:rPr>
                <w:sz w:val="18"/>
              </w:rPr>
              <w:t>P2</w:t>
            </w:r>
          </w:p>
        </w:tc>
      </w:tr>
      <w:tr>
        <w:trPr>
          <w:cantSplit/>
          <w:cantSplit/>
        </w:trPr>
        <w:tc>
          <w:tcPr>
            <w:tcW w:type="dxa" w:w="2520"/>
            <w:shd w:fill="D9EAF7"/>
            <w:tcBorders>
              <w:top w:val="single" w:sz="4" w:color="B4C7E7"/>
              <w:left w:val="single" w:sz="4" w:color="B4C7E7"/>
              <w:bottom w:val="single" w:sz="4" w:color="B4C7E7"/>
              <w:right w:val="single" w:sz="4" w:color="B4C7E7"/>
            </w:tcBorders>
            <w:vAlign w:val="center"/>
          </w:tcPr>
          <w:p>
            <w:pPr>
              <w:spacing w:after="40"/>
            </w:pPr>
            <w:r>
              <w:rPr>
                <w:b/>
                <w:sz w:val="18"/>
              </w:rPr>
              <w:t>AT-14</w:t>
            </w:r>
          </w:p>
        </w:tc>
        <w:tc>
          <w:tcPr>
            <w:tcW w:type="dxa" w:w="2520"/>
            <w:tcBorders>
              <w:top w:val="single" w:sz="4" w:color="B4C7E7"/>
              <w:left w:val="single" w:sz="4" w:color="B4C7E7"/>
              <w:bottom w:val="single" w:sz="4" w:color="B4C7E7"/>
              <w:right w:val="single" w:sz="4" w:color="B4C7E7"/>
            </w:tcBorders>
            <w:vAlign w:val="center"/>
          </w:tcPr>
          <w:p>
            <w:pPr>
              <w:spacing w:after="40"/>
            </w:pPr>
            <w:r>
              <w:rPr>
                <w:sz w:val="18"/>
              </w:rPr>
              <w:t>Nouvelle version de modèle testée sur le jeu adverse</w:t>
            </w:r>
          </w:p>
        </w:tc>
        <w:tc>
          <w:tcPr>
            <w:tcW w:type="dxa" w:w="2520"/>
            <w:tcBorders>
              <w:top w:val="single" w:sz="4" w:color="B4C7E7"/>
              <w:left w:val="single" w:sz="4" w:color="B4C7E7"/>
              <w:bottom w:val="single" w:sz="4" w:color="B4C7E7"/>
              <w:right w:val="single" w:sz="4" w:color="B4C7E7"/>
            </w:tcBorders>
            <w:vAlign w:val="center"/>
          </w:tcPr>
          <w:p>
            <w:pPr>
              <w:spacing w:after="40"/>
            </w:pPr>
            <w:r>
              <w:rPr>
                <w:sz w:val="18"/>
              </w:rPr>
              <w:t>Comparaison et décision de promotion documentées</w:t>
            </w:r>
          </w:p>
        </w:tc>
        <w:tc>
          <w:tcPr>
            <w:tcW w:type="dxa" w:w="2520"/>
            <w:tcBorders>
              <w:top w:val="single" w:sz="4" w:color="B4C7E7"/>
              <w:left w:val="single" w:sz="4" w:color="B4C7E7"/>
              <w:bottom w:val="single" w:sz="4" w:color="B4C7E7"/>
              <w:right w:val="single" w:sz="4" w:color="B4C7E7"/>
            </w:tcBorders>
            <w:vAlign w:val="center"/>
          </w:tcPr>
          <w:p>
            <w:pPr>
              <w:spacing w:after="40"/>
            </w:pPr>
            <w:r>
              <w:rPr>
                <w:sz w:val="18"/>
              </w:rPr>
              <w:t>P2</w:t>
            </w:r>
          </w:p>
        </w:tc>
      </w:tr>
    </w:tbl>
    <w:p>
      <w:pPr>
        <w:pStyle w:val="Heading1"/>
      </w:pPr>
      <w:r>
        <w:t>5. Proposition de plan de mise en œuvre</w:t>
      </w:r>
    </w:p>
    <w:tbl>
      <w:tblPr>
        <w:tblW w:type="auto" w:w="0"/>
        <w:jc w:val="center"/>
        <w:tblLook w:firstColumn="1" w:firstRow="1" w:lastColumn="0" w:lastRow="0" w:noHBand="0" w:noVBand="1" w:val="04A0"/>
      </w:tblPr>
      <w:tblGrid>
        <w:gridCol w:w="2520"/>
        <w:gridCol w:w="2520"/>
        <w:gridCol w:w="2520"/>
        <w:gridCol w:w="2520"/>
      </w:tblGrid>
      <w:tr>
        <w:trPr>
          <w:cantSplit/>
          <w:tblHeader w:val="true"/>
          <w:cantSplit/>
        </w:trPr>
        <w:tc>
          <w:tcPr>
            <w:tcW w:type="dxa" w:w="2520"/>
            <w:shd w:fill="1F4E79"/>
            <w:vAlign w:val="center"/>
          </w:tcPr>
          <w:p>
            <w:pPr>
              <w:spacing w:after="40"/>
            </w:pPr>
            <w:r>
              <w:rPr>
                <w:b/>
                <w:color w:val="FFFFFF"/>
                <w:sz w:val="18"/>
              </w:rPr>
              <w:t>Phase</w:t>
            </w:r>
          </w:p>
        </w:tc>
        <w:tc>
          <w:tcPr>
            <w:tcW w:type="dxa" w:w="2520"/>
            <w:shd w:fill="1F4E79"/>
            <w:vAlign w:val="center"/>
          </w:tcPr>
          <w:p>
            <w:pPr>
              <w:spacing w:after="40"/>
            </w:pPr>
            <w:r>
              <w:rPr>
                <w:b/>
                <w:color w:val="FFFFFF"/>
                <w:sz w:val="18"/>
              </w:rPr>
              <w:t>Travaux</w:t>
            </w:r>
          </w:p>
        </w:tc>
        <w:tc>
          <w:tcPr>
            <w:tcW w:type="dxa" w:w="2520"/>
            <w:shd w:fill="1F4E79"/>
            <w:vAlign w:val="center"/>
          </w:tcPr>
          <w:p>
            <w:pPr>
              <w:spacing w:after="40"/>
            </w:pPr>
            <w:r>
              <w:rPr>
                <w:b/>
                <w:color w:val="FFFFFF"/>
                <w:sz w:val="18"/>
              </w:rPr>
              <w:t>Livrables de preuve</w:t>
            </w:r>
          </w:p>
        </w:tc>
        <w:tc>
          <w:tcPr>
            <w:tcW w:type="dxa" w:w="2520"/>
            <w:shd w:fill="1F4E79"/>
            <w:vAlign w:val="center"/>
          </w:tcPr>
          <w:p>
            <w:pPr>
              <w:spacing w:after="40"/>
            </w:pPr>
            <w:r>
              <w:rPr>
                <w:b/>
                <w:color w:val="FFFFFF"/>
                <w:sz w:val="18"/>
              </w:rPr>
              <w:t>Validation</w:t>
            </w:r>
          </w:p>
        </w:tc>
      </w:tr>
      <w:tr>
        <w:trPr>
          <w:cantSplit/>
          <w:cantSplit/>
        </w:trPr>
        <w:tc>
          <w:tcPr>
            <w:tcW w:type="dxa" w:w="2520"/>
            <w:shd w:fill="D9EAF7"/>
            <w:tcBorders>
              <w:top w:val="single" w:sz="4" w:color="B4C7E7"/>
              <w:left w:val="single" w:sz="4" w:color="B4C7E7"/>
              <w:bottom w:val="single" w:sz="4" w:color="B4C7E7"/>
              <w:right w:val="single" w:sz="4" w:color="B4C7E7"/>
            </w:tcBorders>
            <w:vAlign w:val="center"/>
          </w:tcPr>
          <w:p>
            <w:pPr>
              <w:spacing w:after="40"/>
            </w:pPr>
            <w:r>
              <w:rPr>
                <w:b/>
                <w:sz w:val="18"/>
              </w:rPr>
              <w:t>Phase A</w:t>
            </w:r>
          </w:p>
        </w:tc>
        <w:tc>
          <w:tcPr>
            <w:tcW w:type="dxa" w:w="2520"/>
            <w:tcBorders>
              <w:top w:val="single" w:sz="4" w:color="B4C7E7"/>
              <w:left w:val="single" w:sz="4" w:color="B4C7E7"/>
              <w:bottom w:val="single" w:sz="4" w:color="B4C7E7"/>
              <w:right w:val="single" w:sz="4" w:color="B4C7E7"/>
            </w:tcBorders>
            <w:vAlign w:val="center"/>
          </w:tcPr>
          <w:p>
            <w:pPr>
              <w:spacing w:after="40"/>
            </w:pPr>
            <w:r>
              <w:rPr>
                <w:sz w:val="18"/>
              </w:rPr>
              <w:t>Policy Engine, RunContext, budgets, objectifs protégés, validation indépendante</w:t>
            </w:r>
          </w:p>
        </w:tc>
        <w:tc>
          <w:tcPr>
            <w:tcW w:type="dxa" w:w="2520"/>
            <w:tcBorders>
              <w:top w:val="single" w:sz="4" w:color="B4C7E7"/>
              <w:left w:val="single" w:sz="4" w:color="B4C7E7"/>
              <w:bottom w:val="single" w:sz="4" w:color="B4C7E7"/>
              <w:right w:val="single" w:sz="4" w:color="B4C7E7"/>
            </w:tcBorders>
            <w:vAlign w:val="center"/>
          </w:tcPr>
          <w:p>
            <w:pPr>
              <w:spacing w:after="40"/>
            </w:pPr>
            <w:r>
              <w:rPr>
                <w:sz w:val="18"/>
              </w:rPr>
              <w:t>Code, configurations, tests AT-01 à AT-05</w:t>
            </w:r>
          </w:p>
        </w:tc>
        <w:tc>
          <w:tcPr>
            <w:tcW w:type="dxa" w:w="2520"/>
            <w:tcBorders>
              <w:top w:val="single" w:sz="4" w:color="B4C7E7"/>
              <w:left w:val="single" w:sz="4" w:color="B4C7E7"/>
              <w:bottom w:val="single" w:sz="4" w:color="B4C7E7"/>
              <w:right w:val="single" w:sz="4" w:color="B4C7E7"/>
            </w:tcBorders>
            <w:vAlign w:val="center"/>
          </w:tcPr>
          <w:p>
            <w:pPr>
              <w:spacing w:after="40"/>
            </w:pPr>
            <w:r>
              <w:rPr>
                <w:sz w:val="18"/>
              </w:rPr>
              <w:t>Revue technique puis CISO</w:t>
            </w:r>
          </w:p>
        </w:tc>
      </w:tr>
      <w:tr>
        <w:trPr>
          <w:cantSplit/>
          <w:cantSplit/>
        </w:trPr>
        <w:tc>
          <w:tcPr>
            <w:tcW w:type="dxa" w:w="2520"/>
            <w:shd w:fill="D9EAF7"/>
            <w:tcBorders>
              <w:top w:val="single" w:sz="4" w:color="B4C7E7"/>
              <w:left w:val="single" w:sz="4" w:color="B4C7E7"/>
              <w:bottom w:val="single" w:sz="4" w:color="B4C7E7"/>
              <w:right w:val="single" w:sz="4" w:color="B4C7E7"/>
            </w:tcBorders>
            <w:vAlign w:val="center"/>
          </w:tcPr>
          <w:p>
            <w:pPr>
              <w:spacing w:after="40"/>
            </w:pPr>
            <w:r>
              <w:rPr>
                <w:b/>
                <w:sz w:val="18"/>
              </w:rPr>
              <w:t>Phase B</w:t>
            </w:r>
          </w:p>
        </w:tc>
        <w:tc>
          <w:tcPr>
            <w:tcW w:type="dxa" w:w="2520"/>
            <w:tcBorders>
              <w:top w:val="single" w:sz="4" w:color="B4C7E7"/>
              <w:left w:val="single" w:sz="4" w:color="B4C7E7"/>
              <w:bottom w:val="single" w:sz="4" w:color="B4C7E7"/>
              <w:right w:val="single" w:sz="4" w:color="B4C7E7"/>
            </w:tcBorders>
            <w:vAlign w:val="center"/>
          </w:tcPr>
          <w:p>
            <w:pPr>
              <w:spacing w:after="40"/>
            </w:pPr>
            <w:r>
              <w:rPr>
                <w:sz w:val="18"/>
              </w:rPr>
              <w:t>Annulation de run, circuit breaker minimal, écran de supervision</w:t>
            </w:r>
          </w:p>
        </w:tc>
        <w:tc>
          <w:tcPr>
            <w:tcW w:type="dxa" w:w="2520"/>
            <w:tcBorders>
              <w:top w:val="single" w:sz="4" w:color="B4C7E7"/>
              <w:left w:val="single" w:sz="4" w:color="B4C7E7"/>
              <w:bottom w:val="single" w:sz="4" w:color="B4C7E7"/>
              <w:right w:val="single" w:sz="4" w:color="B4C7E7"/>
            </w:tcBorders>
            <w:vAlign w:val="center"/>
          </w:tcPr>
          <w:p>
            <w:pPr>
              <w:spacing w:after="40"/>
            </w:pPr>
            <w:r>
              <w:rPr>
                <w:sz w:val="18"/>
              </w:rPr>
              <w:t>Tests AT-06 et maquette CISO</w:t>
            </w:r>
          </w:p>
        </w:tc>
        <w:tc>
          <w:tcPr>
            <w:tcW w:type="dxa" w:w="2520"/>
            <w:tcBorders>
              <w:top w:val="single" w:sz="4" w:color="B4C7E7"/>
              <w:left w:val="single" w:sz="4" w:color="B4C7E7"/>
              <w:bottom w:val="single" w:sz="4" w:color="B4C7E7"/>
              <w:right w:val="single" w:sz="4" w:color="B4C7E7"/>
            </w:tcBorders>
            <w:vAlign w:val="center"/>
          </w:tcPr>
          <w:p>
            <w:pPr>
              <w:spacing w:after="40"/>
            </w:pPr>
            <w:r>
              <w:rPr>
                <w:sz w:val="18"/>
              </w:rPr>
              <w:t>CISO</w:t>
            </w:r>
          </w:p>
        </w:tc>
      </w:tr>
      <w:tr>
        <w:trPr>
          <w:cantSplit/>
          <w:cantSplit/>
        </w:trPr>
        <w:tc>
          <w:tcPr>
            <w:tcW w:type="dxa" w:w="2520"/>
            <w:shd w:fill="D9EAF7"/>
            <w:tcBorders>
              <w:top w:val="single" w:sz="4" w:color="B4C7E7"/>
              <w:left w:val="single" w:sz="4" w:color="B4C7E7"/>
              <w:bottom w:val="single" w:sz="4" w:color="B4C7E7"/>
              <w:right w:val="single" w:sz="4" w:color="B4C7E7"/>
            </w:tcBorders>
            <w:vAlign w:val="center"/>
          </w:tcPr>
          <w:p>
            <w:pPr>
              <w:spacing w:after="40"/>
            </w:pPr>
            <w:r>
              <w:rPr>
                <w:b/>
                <w:sz w:val="18"/>
              </w:rPr>
              <w:t>Phase C</w:t>
            </w:r>
          </w:p>
        </w:tc>
        <w:tc>
          <w:tcPr>
            <w:tcW w:type="dxa" w:w="2520"/>
            <w:tcBorders>
              <w:top w:val="single" w:sz="4" w:color="B4C7E7"/>
              <w:left w:val="single" w:sz="4" w:color="B4C7E7"/>
              <w:bottom w:val="single" w:sz="4" w:color="B4C7E7"/>
              <w:right w:val="single" w:sz="4" w:color="B4C7E7"/>
            </w:tcBorders>
            <w:vAlign w:val="center"/>
          </w:tcPr>
          <w:p>
            <w:pPr>
              <w:spacing w:after="40"/>
            </w:pPr>
            <w:r>
              <w:rPr>
                <w:sz w:val="18"/>
              </w:rPr>
              <w:t>IAM corporatif, coffre, TLS, classification des données, kill switch global</w:t>
            </w:r>
          </w:p>
        </w:tc>
        <w:tc>
          <w:tcPr>
            <w:tcW w:type="dxa" w:w="2520"/>
            <w:tcBorders>
              <w:top w:val="single" w:sz="4" w:color="B4C7E7"/>
              <w:left w:val="single" w:sz="4" w:color="B4C7E7"/>
              <w:bottom w:val="single" w:sz="4" w:color="B4C7E7"/>
              <w:right w:val="single" w:sz="4" w:color="B4C7E7"/>
            </w:tcBorders>
            <w:vAlign w:val="center"/>
          </w:tcPr>
          <w:p>
            <w:pPr>
              <w:spacing w:after="40"/>
            </w:pPr>
            <w:r>
              <w:rPr>
                <w:sz w:val="18"/>
              </w:rPr>
              <w:t>Matrice IAM, preuves de configuration, tests AT-07 à AT-12</w:t>
            </w:r>
          </w:p>
        </w:tc>
        <w:tc>
          <w:tcPr>
            <w:tcW w:type="dxa" w:w="2520"/>
            <w:tcBorders>
              <w:top w:val="single" w:sz="4" w:color="B4C7E7"/>
              <w:left w:val="single" w:sz="4" w:color="B4C7E7"/>
              <w:bottom w:val="single" w:sz="4" w:color="B4C7E7"/>
              <w:right w:val="single" w:sz="4" w:color="B4C7E7"/>
            </w:tcBorders>
            <w:vAlign w:val="center"/>
          </w:tcPr>
          <w:p>
            <w:pPr>
              <w:spacing w:after="40"/>
            </w:pPr>
            <w:r>
              <w:rPr>
                <w:sz w:val="18"/>
              </w:rPr>
              <w:t>CISO</w:t>
            </w:r>
          </w:p>
        </w:tc>
      </w:tr>
      <w:tr>
        <w:trPr>
          <w:cantSplit/>
          <w:cantSplit/>
        </w:trPr>
        <w:tc>
          <w:tcPr>
            <w:tcW w:type="dxa" w:w="2520"/>
            <w:shd w:fill="D9EAF7"/>
            <w:tcBorders>
              <w:top w:val="single" w:sz="4" w:color="B4C7E7"/>
              <w:left w:val="single" w:sz="4" w:color="B4C7E7"/>
              <w:bottom w:val="single" w:sz="4" w:color="B4C7E7"/>
              <w:right w:val="single" w:sz="4" w:color="B4C7E7"/>
            </w:tcBorders>
            <w:vAlign w:val="center"/>
          </w:tcPr>
          <w:p>
            <w:pPr>
              <w:spacing w:after="40"/>
            </w:pPr>
            <w:r>
              <w:rPr>
                <w:b/>
                <w:sz w:val="18"/>
              </w:rPr>
              <w:t>Phase D</w:t>
            </w:r>
          </w:p>
        </w:tc>
        <w:tc>
          <w:tcPr>
            <w:tcW w:type="dxa" w:w="2520"/>
            <w:tcBorders>
              <w:top w:val="single" w:sz="4" w:color="B4C7E7"/>
              <w:left w:val="single" w:sz="4" w:color="B4C7E7"/>
              <w:bottom w:val="single" w:sz="4" w:color="B4C7E7"/>
              <w:right w:val="single" w:sz="4" w:color="B4C7E7"/>
            </w:tcBorders>
            <w:vAlign w:val="center"/>
          </w:tcPr>
          <w:p>
            <w:pPr>
              <w:spacing w:after="40"/>
            </w:pPr>
            <w:r>
              <w:rPr>
                <w:sz w:val="18"/>
              </w:rPr>
              <w:t>Registre modèles, SIEM, red teaming, reprise persistante</w:t>
            </w:r>
          </w:p>
        </w:tc>
        <w:tc>
          <w:tcPr>
            <w:tcW w:type="dxa" w:w="2520"/>
            <w:tcBorders>
              <w:top w:val="single" w:sz="4" w:color="B4C7E7"/>
              <w:left w:val="single" w:sz="4" w:color="B4C7E7"/>
              <w:bottom w:val="single" w:sz="4" w:color="B4C7E7"/>
              <w:right w:val="single" w:sz="4" w:color="B4C7E7"/>
            </w:tcBorders>
            <w:vAlign w:val="center"/>
          </w:tcPr>
          <w:p>
            <w:pPr>
              <w:spacing w:after="40"/>
            </w:pPr>
            <w:r>
              <w:rPr>
                <w:sz w:val="18"/>
              </w:rPr>
              <w:t>Rapport d’industrialisation et tests AT-13 à AT-14</w:t>
            </w:r>
          </w:p>
        </w:tc>
        <w:tc>
          <w:tcPr>
            <w:tcW w:type="dxa" w:w="2520"/>
            <w:tcBorders>
              <w:top w:val="single" w:sz="4" w:color="B4C7E7"/>
              <w:left w:val="single" w:sz="4" w:color="B4C7E7"/>
              <w:bottom w:val="single" w:sz="4" w:color="B4C7E7"/>
              <w:right w:val="single" w:sz="4" w:color="B4C7E7"/>
            </w:tcBorders>
            <w:vAlign w:val="center"/>
          </w:tcPr>
          <w:p>
            <w:pPr>
              <w:spacing w:after="40"/>
            </w:pPr>
            <w:r>
              <w:rPr>
                <w:sz w:val="18"/>
              </w:rPr>
              <w:t>Décision d’industrialisation</w:t>
            </w:r>
          </w:p>
        </w:tc>
      </w:tr>
    </w:tbl>
    <w:p>
      <w:pPr>
        <w:pStyle w:val="Heading1"/>
      </w:pPr>
      <w:r>
        <w:t>6. Décision concernant LangGraph</w:t>
      </w:r>
    </w:p>
    <w:tbl>
      <w:tblPr>
        <w:tblW w:type="auto" w:w="0"/>
        <w:jc w:val="center"/>
        <w:tblLayout w:type="autofit"/>
        <w:tblLook w:firstColumn="1" w:firstRow="1" w:lastColumn="0" w:lastRow="0" w:noHBand="0" w:noVBand="1" w:val="04A0"/>
      </w:tblPr>
      <w:tblGrid>
        <w:gridCol w:w="10080"/>
      </w:tblGrid>
      <w:tr>
        <w:trPr>
          <w:cantSplit/>
          <w:tblHeader w:val="true"/>
          <w:cantSplit/>
        </w:trPr>
        <w:tc>
          <w:tcPr>
            <w:tcW w:type="dxa" w:w="10080"/>
            <w:shd w:fill="FFF2CC"/>
            <w:tcBorders>
              <w:top w:val="single" w:sz="8" w:color="C9A227"/>
              <w:left w:val="single" w:sz="8" w:color="C9A227"/>
              <w:bottom w:val="single" w:sz="8" w:color="C9A227"/>
              <w:right w:val="single" w:sz="8" w:color="C9A227"/>
            </w:tcBorders>
            <w:vAlign w:val="center"/>
          </w:tcPr>
          <w:p>
            <w:pPr>
              <w:spacing w:after="40"/>
            </w:pPr>
            <w:r>
              <w:rPr>
                <w:b/>
                <w:color w:val="1F4E79"/>
                <w:sz w:val="18"/>
              </w:rPr>
              <w:t>Décision recommandée : ne pas ajouter LangGraph au pilote</w:t>
            </w:r>
          </w:p>
          <w:p>
            <w:pPr>
              <w:spacing w:after="40"/>
            </w:pPr>
            <w:r>
              <w:rPr>
                <w:sz w:val="18"/>
              </w:rPr>
              <w:t>Le workflow actuel est court, déterministe et déjà orchestré par le serveur MCP. Ajouter LangGraph créerait une seconde autorité de transition, de retry, de timeout et de persistance. Les contrôles décrits dans ce document peuvent être intégrés directement dans l’orchestrateur existant.</w:t>
            </w:r>
          </w:p>
        </w:tc>
      </w:tr>
    </w:tbl>
    <w:p>
      <w:r>
        <w:t>LangGraph pourra être réévalué uniquement si le projet évolue vers des workflows longs et persistants, de nombreuses branches parallèles, plusieurs checkpoints humains, des sous-graphes complexes ou une reprise native après interruption. Dans ce cas, il devrait remplacer une partie de l’automate interne, et non être superposé au MCP.</w:t>
      </w:r>
    </w:p>
    <w:p>
      <w:pPr>
        <w:pStyle w:val="Heading1"/>
      </w:pPr>
      <w:r>
        <w:t>7. Critères globaux de clôture du livrable</w:t>
      </w:r>
    </w:p>
    <w:p>
      <w:pPr>
        <w:pStyle w:val="ListBullet"/>
        <w:spacing w:after="40"/>
        <w:ind w:left="259"/>
      </w:pPr>
      <w:r>
        <w:t>Toutes les mesures P0 sont implémentées et testées avant la démonstration finale.</w:t>
      </w:r>
    </w:p>
    <w:p>
      <w:pPr>
        <w:pStyle w:val="ListBullet"/>
        <w:spacing w:after="40"/>
        <w:ind w:left="259"/>
      </w:pPr>
      <w:r>
        <w:t>100 % des scénarios critiques interdits du plan de tests sont bloqués.</w:t>
      </w:r>
    </w:p>
    <w:p>
      <w:pPr>
        <w:pStyle w:val="ListBullet"/>
        <w:spacing w:after="40"/>
        <w:ind w:left="259"/>
      </w:pPr>
      <w:r>
        <w:t>Aucun LLM ne possède de secret corporatif ni d’accès direct aux systèmes.</w:t>
      </w:r>
    </w:p>
    <w:p>
      <w:pPr>
        <w:pStyle w:val="ListBullet"/>
        <w:spacing w:after="40"/>
        <w:ind w:left="259"/>
      </w:pPr>
      <w:r>
        <w:t>Chaque décision peut être reconstruite à partir des Evidence, versions et journaux.</w:t>
      </w:r>
    </w:p>
    <w:p>
      <w:pPr>
        <w:pStyle w:val="ListBullet"/>
        <w:spacing w:after="40"/>
        <w:ind w:left="259"/>
      </w:pPr>
      <w:r>
        <w:t>Le CISO peut arrêter un run et comprendre les raisons d’une décision.</w:t>
      </w:r>
    </w:p>
    <w:p>
      <w:pPr>
        <w:pStyle w:val="ListBullet"/>
        <w:spacing w:after="40"/>
        <w:ind w:left="259"/>
      </w:pPr>
      <w:r>
        <w:t>Les mesures P1 disposent d’un propriétaire, d’une échéance et d’une preuve attendue avant pilote corporatif.</w:t>
      </w:r>
    </w:p>
    <w:p>
      <w:pPr>
        <w:pStyle w:val="ListBullet"/>
        <w:spacing w:after="40"/>
        <w:ind w:left="259"/>
      </w:pPr>
      <w:r>
        <w:t>Les mesures P2 sont documentées comme conditions d’industrialisation.</w:t>
      </w:r>
    </w:p>
    <w:p>
      <w:pPr>
        <w:pStyle w:val="Heading1"/>
      </w:pPr>
      <w:r>
        <w:t>8. Fiche de validation CISO</w:t>
      </w:r>
    </w:p>
    <w:tbl>
      <w:tblPr>
        <w:tblW w:type="auto" w:w="0"/>
        <w:jc w:val="center"/>
        <w:tblLook w:firstColumn="1" w:firstRow="1" w:lastColumn="0" w:lastRow="0" w:noHBand="0" w:noVBand="1" w:val="04A0"/>
      </w:tblPr>
      <w:tblGrid>
        <w:gridCol w:w="5040"/>
        <w:gridCol w:w="5040"/>
      </w:tblGrid>
      <w:tr>
        <w:trPr>
          <w:cantSplit/>
          <w:tblHeader w:val="true"/>
          <w:cantSplit/>
        </w:trPr>
        <w:tc>
          <w:tcPr>
            <w:tcW w:type="dxa" w:w="5040"/>
            <w:shd w:fill="D9EAF7"/>
            <w:tcBorders>
              <w:top w:val="single" w:sz="4" w:color="B4C7E7"/>
              <w:left w:val="single" w:sz="4" w:color="B4C7E7"/>
              <w:bottom w:val="single" w:sz="4" w:color="B4C7E7"/>
              <w:right w:val="single" w:sz="4" w:color="B4C7E7"/>
            </w:tcBorders>
            <w:vAlign w:val="center"/>
          </w:tcPr>
          <w:p>
            <w:pPr>
              <w:spacing w:after="40"/>
            </w:pPr>
            <w:r>
              <w:rPr>
                <w:b/>
                <w:color w:val="1F4E79"/>
                <w:sz w:val="18"/>
              </w:rPr>
              <w:t>Décision</w:t>
            </w:r>
          </w:p>
        </w:tc>
        <w:tc>
          <w:tcPr>
            <w:tcW w:type="dxa" w:w="5040"/>
            <w:tcBorders>
              <w:top w:val="single" w:sz="4" w:color="B4C7E7"/>
              <w:left w:val="single" w:sz="4" w:color="B4C7E7"/>
              <w:bottom w:val="single" w:sz="4" w:color="B4C7E7"/>
              <w:right w:val="single" w:sz="4" w:color="B4C7E7"/>
            </w:tcBorders>
            <w:vAlign w:val="center"/>
          </w:tcPr>
          <w:p>
            <w:pPr>
              <w:spacing w:after="40"/>
            </w:pPr>
            <w:r>
              <w:rPr>
                <w:sz w:val="18"/>
              </w:rPr>
              <w:t>☐ Validé   ☐ Validé avec réserves   ☐ À corriger</w:t>
            </w:r>
          </w:p>
        </w:tc>
      </w:tr>
      <w:tr>
        <w:trPr>
          <w:cantSplit/>
          <w:cantSplit/>
        </w:trPr>
        <w:tc>
          <w:tcPr>
            <w:tcW w:type="dxa" w:w="5040"/>
            <w:shd w:fill="D9EAF7"/>
            <w:tcBorders>
              <w:top w:val="single" w:sz="4" w:color="B4C7E7"/>
              <w:left w:val="single" w:sz="4" w:color="B4C7E7"/>
              <w:bottom w:val="single" w:sz="4" w:color="B4C7E7"/>
              <w:right w:val="single" w:sz="4" w:color="B4C7E7"/>
            </w:tcBorders>
            <w:vAlign w:val="center"/>
          </w:tcPr>
          <w:p>
            <w:pPr>
              <w:spacing w:after="40"/>
            </w:pPr>
            <w:r>
              <w:rPr>
                <w:b/>
                <w:color w:val="1F4E79"/>
                <w:sz w:val="18"/>
              </w:rPr>
              <w:t>Réserves / commentaires</w:t>
            </w:r>
          </w:p>
        </w:tc>
        <w:tc>
          <w:tcPr>
            <w:tcW w:type="dxa" w:w="5040"/>
            <w:tcBorders>
              <w:top w:val="single" w:sz="4" w:color="B4C7E7"/>
              <w:left w:val="single" w:sz="4" w:color="B4C7E7"/>
              <w:bottom w:val="single" w:sz="4" w:color="B4C7E7"/>
              <w:right w:val="single" w:sz="4" w:color="B4C7E7"/>
            </w:tcBorders>
            <w:vAlign w:val="center"/>
          </w:tcPr>
          <w:p>
            <w:pPr>
              <w:spacing w:after="40"/>
            </w:pPr>
            <w:r>
              <w:rPr>
                <w:sz w:val="18"/>
              </w:rPr>
              <w:br/>
              <w:br/>
              <w:br/>
            </w:r>
          </w:p>
        </w:tc>
      </w:tr>
      <w:tr>
        <w:trPr>
          <w:cantSplit/>
          <w:cantSplit/>
        </w:trPr>
        <w:tc>
          <w:tcPr>
            <w:tcW w:type="dxa" w:w="5040"/>
            <w:shd w:fill="D9EAF7"/>
            <w:tcBorders>
              <w:top w:val="single" w:sz="4" w:color="B4C7E7"/>
              <w:left w:val="single" w:sz="4" w:color="B4C7E7"/>
              <w:bottom w:val="single" w:sz="4" w:color="B4C7E7"/>
              <w:right w:val="single" w:sz="4" w:color="B4C7E7"/>
            </w:tcBorders>
            <w:vAlign w:val="center"/>
          </w:tcPr>
          <w:p>
            <w:pPr>
              <w:spacing w:after="40"/>
            </w:pPr>
            <w:r>
              <w:rPr>
                <w:b/>
                <w:color w:val="1F4E79"/>
                <w:sz w:val="18"/>
              </w:rPr>
              <w:t>Priorités P0 approuvées</w:t>
            </w:r>
          </w:p>
        </w:tc>
        <w:tc>
          <w:tcPr>
            <w:tcW w:type="dxa" w:w="5040"/>
            <w:tcBorders>
              <w:top w:val="single" w:sz="4" w:color="B4C7E7"/>
              <w:left w:val="single" w:sz="4" w:color="B4C7E7"/>
              <w:bottom w:val="single" w:sz="4" w:color="B4C7E7"/>
              <w:right w:val="single" w:sz="4" w:color="B4C7E7"/>
            </w:tcBorders>
            <w:vAlign w:val="center"/>
          </w:tcPr>
          <w:p>
            <w:pPr>
              <w:spacing w:after="40"/>
            </w:pPr>
            <w:r>
              <w:rPr>
                <w:sz w:val="18"/>
              </w:rPr>
              <w:t>☐ Oui   ☐ Non</w:t>
            </w:r>
          </w:p>
        </w:tc>
      </w:tr>
      <w:tr>
        <w:trPr>
          <w:cantSplit/>
          <w:cantSplit/>
        </w:trPr>
        <w:tc>
          <w:tcPr>
            <w:tcW w:type="dxa" w:w="5040"/>
            <w:shd w:fill="D9EAF7"/>
            <w:tcBorders>
              <w:top w:val="single" w:sz="4" w:color="B4C7E7"/>
              <w:left w:val="single" w:sz="4" w:color="B4C7E7"/>
              <w:bottom w:val="single" w:sz="4" w:color="B4C7E7"/>
              <w:right w:val="single" w:sz="4" w:color="B4C7E7"/>
            </w:tcBorders>
            <w:vAlign w:val="center"/>
          </w:tcPr>
          <w:p>
            <w:pPr>
              <w:spacing w:after="40"/>
            </w:pPr>
            <w:r>
              <w:rPr>
                <w:b/>
                <w:color w:val="1F4E79"/>
                <w:sz w:val="18"/>
              </w:rPr>
              <w:t>Principes P1 approuvés</w:t>
            </w:r>
          </w:p>
        </w:tc>
        <w:tc>
          <w:tcPr>
            <w:tcW w:type="dxa" w:w="5040"/>
            <w:tcBorders>
              <w:top w:val="single" w:sz="4" w:color="B4C7E7"/>
              <w:left w:val="single" w:sz="4" w:color="B4C7E7"/>
              <w:bottom w:val="single" w:sz="4" w:color="B4C7E7"/>
              <w:right w:val="single" w:sz="4" w:color="B4C7E7"/>
            </w:tcBorders>
            <w:vAlign w:val="center"/>
          </w:tcPr>
          <w:p>
            <w:pPr>
              <w:spacing w:after="40"/>
            </w:pPr>
            <w:r>
              <w:rPr>
                <w:sz w:val="18"/>
              </w:rPr>
              <w:t>☐ Oui   ☐ Non</w:t>
            </w:r>
          </w:p>
        </w:tc>
      </w:tr>
      <w:tr>
        <w:trPr>
          <w:cantSplit/>
          <w:cantSplit/>
        </w:trPr>
        <w:tc>
          <w:tcPr>
            <w:tcW w:type="dxa" w:w="5040"/>
            <w:shd w:fill="D9EAF7"/>
            <w:tcBorders>
              <w:top w:val="single" w:sz="4" w:color="B4C7E7"/>
              <w:left w:val="single" w:sz="4" w:color="B4C7E7"/>
              <w:bottom w:val="single" w:sz="4" w:color="B4C7E7"/>
              <w:right w:val="single" w:sz="4" w:color="B4C7E7"/>
            </w:tcBorders>
            <w:vAlign w:val="center"/>
          </w:tcPr>
          <w:p>
            <w:pPr>
              <w:spacing w:after="40"/>
            </w:pPr>
            <w:r>
              <w:rPr>
                <w:b/>
                <w:color w:val="1F4E79"/>
                <w:sz w:val="18"/>
              </w:rPr>
              <w:t>Décision LangGraph</w:t>
            </w:r>
          </w:p>
        </w:tc>
        <w:tc>
          <w:tcPr>
            <w:tcW w:type="dxa" w:w="5040"/>
            <w:tcBorders>
              <w:top w:val="single" w:sz="4" w:color="B4C7E7"/>
              <w:left w:val="single" w:sz="4" w:color="B4C7E7"/>
              <w:bottom w:val="single" w:sz="4" w:color="B4C7E7"/>
              <w:right w:val="single" w:sz="4" w:color="B4C7E7"/>
            </w:tcBorders>
            <w:vAlign w:val="center"/>
          </w:tcPr>
          <w:p>
            <w:pPr>
              <w:spacing w:after="40"/>
            </w:pPr>
            <w:r>
              <w:rPr>
                <w:sz w:val="18"/>
              </w:rPr>
              <w:t>☐ Pas de LangGraph pour le pilote   ☐ Réévaluation demandée</w:t>
            </w:r>
          </w:p>
        </w:tc>
      </w:tr>
      <w:tr>
        <w:trPr>
          <w:cantSplit/>
          <w:cantSplit/>
        </w:trPr>
        <w:tc>
          <w:tcPr>
            <w:tcW w:type="dxa" w:w="5040"/>
            <w:shd w:fill="D9EAF7"/>
            <w:tcBorders>
              <w:top w:val="single" w:sz="4" w:color="B4C7E7"/>
              <w:left w:val="single" w:sz="4" w:color="B4C7E7"/>
              <w:bottom w:val="single" w:sz="4" w:color="B4C7E7"/>
              <w:right w:val="single" w:sz="4" w:color="B4C7E7"/>
            </w:tcBorders>
            <w:vAlign w:val="center"/>
          </w:tcPr>
          <w:p>
            <w:pPr>
              <w:spacing w:after="40"/>
            </w:pPr>
            <w:r>
              <w:rPr>
                <w:b/>
                <w:color w:val="1F4E79"/>
                <w:sz w:val="18"/>
              </w:rPr>
              <w:t>Nom et fonction</w:t>
            </w:r>
          </w:p>
        </w:tc>
        <w:tc>
          <w:tcPr>
            <w:tcW w:type="dxa" w:w="5040"/>
            <w:tcBorders>
              <w:top w:val="single" w:sz="4" w:color="B4C7E7"/>
              <w:left w:val="single" w:sz="4" w:color="B4C7E7"/>
              <w:bottom w:val="single" w:sz="4" w:color="B4C7E7"/>
              <w:right w:val="single" w:sz="4" w:color="B4C7E7"/>
            </w:tcBorders>
            <w:vAlign w:val="center"/>
          </w:tcPr>
          <w:p>
            <w:pPr>
              <w:spacing w:after="40"/>
            </w:pPr>
            <w:r>
              <w:rPr>
                <w:sz w:val="18"/>
              </w:rPr>
            </w:r>
          </w:p>
        </w:tc>
      </w:tr>
      <w:tr>
        <w:trPr>
          <w:cantSplit/>
          <w:cantSplit/>
        </w:trPr>
        <w:tc>
          <w:tcPr>
            <w:tcW w:type="dxa" w:w="5040"/>
            <w:shd w:fill="D9EAF7"/>
            <w:tcBorders>
              <w:top w:val="single" w:sz="4" w:color="B4C7E7"/>
              <w:left w:val="single" w:sz="4" w:color="B4C7E7"/>
              <w:bottom w:val="single" w:sz="4" w:color="B4C7E7"/>
              <w:right w:val="single" w:sz="4" w:color="B4C7E7"/>
            </w:tcBorders>
            <w:vAlign w:val="center"/>
          </w:tcPr>
          <w:p>
            <w:pPr>
              <w:spacing w:after="40"/>
            </w:pPr>
            <w:r>
              <w:rPr>
                <w:b/>
                <w:color w:val="1F4E79"/>
                <w:sz w:val="18"/>
              </w:rPr>
              <w:t>Date et signature</w:t>
            </w:r>
          </w:p>
        </w:tc>
        <w:tc>
          <w:tcPr>
            <w:tcW w:type="dxa" w:w="5040"/>
            <w:tcBorders>
              <w:top w:val="single" w:sz="4" w:color="B4C7E7"/>
              <w:left w:val="single" w:sz="4" w:color="B4C7E7"/>
              <w:bottom w:val="single" w:sz="4" w:color="B4C7E7"/>
              <w:right w:val="single" w:sz="4" w:color="B4C7E7"/>
            </w:tcBorders>
            <w:vAlign w:val="center"/>
          </w:tcPr>
          <w:p>
            <w:pPr>
              <w:spacing w:after="40"/>
            </w:pPr>
            <w:r>
              <w:rPr>
                <w:sz w:val="18"/>
              </w:rPr>
            </w:r>
          </w:p>
        </w:tc>
      </w:tr>
    </w:tbl>
    <w:p>
      <w:pPr>
        <w:pStyle w:val="Heading1"/>
      </w:pPr>
      <w:r>
        <w:t>9. Références de travail</w:t>
      </w:r>
    </w:p>
    <w:p>
      <w:pPr>
        <w:pStyle w:val="ListBullet"/>
        <w:spacing w:after="40"/>
        <w:ind w:left="259"/>
      </w:pPr>
      <w:r>
        <w:t>Article fourni par l’utilisateur : « IA Agentique : comment se prémunir des 10 principaux risques cyber », publié le 1er octobre 2025.</w:t>
      </w:r>
    </w:p>
    <w:p>
      <w:pPr>
        <w:pStyle w:val="ListBullet"/>
        <w:spacing w:after="40"/>
        <w:ind w:left="259"/>
      </w:pPr>
      <w:r>
        <w:t>Article fourni par l’utilisateur sur les risques des systèmes multi-agents : identité, communication, modèles, autonomie et auditabilité.</w:t>
      </w:r>
    </w:p>
    <w:p>
      <w:pPr>
        <w:pStyle w:val="ListBullet"/>
        <w:spacing w:after="40"/>
        <w:ind w:left="259"/>
      </w:pPr>
      <w:r>
        <w:t>Livrables CyberTrust Agents des semaines précédentes : architecture cible, contrats de données, routage MCP, scoring, risques et tests.</w:t>
      </w:r>
    </w:p>
    <w:p>
      <w:pPr>
        <w:pStyle w:val="ListBullet"/>
        <w:spacing w:after="40"/>
        <w:ind w:left="259"/>
      </w:pPr>
      <w:r>
        <w:t>Livrable séparé : Matrice et politique de Blast Radius.</w:t>
      </w:r>
    </w:p>
    <w:sectPr w:rsidR="00FC693F" w:rsidRPr="0006063C" w:rsidSect="00034616">
      <w:headerReference w:type="default" r:id="rId9"/>
      <w:footerReference w:type="default" r:id="rId10"/>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D82"/>
        <w:sz w:val="16"/>
      </w:rPr>
      <w:t xml:space="preserve">Document de travail - Validation CISO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B6D82"/>
        <w:sz w:val="16"/>
      </w:rPr>
      <w:t>CYBERTRUST AGENTS  |  Contrôles complémentaires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eastAsia="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Aptos Display" w:hAnsi="Aptos Display" w:eastAsia="Aptos Display"/>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140" w:after="100"/>
      <w:outlineLvl w:val="2"/>
    </w:pPr>
    <w:rPr>
      <w:rFonts w:asciiTheme="majorHAnsi" w:eastAsiaTheme="majorEastAsia" w:hAnsiTheme="majorHAnsi" w:cstheme="majorBidi" w:ascii="Aptos Display" w:hAnsi="Aptos Display" w:eastAsia="Aptos Display"/>
      <w:b/>
      <w:bCs/>
      <w:color w:val="2E546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eastAsia="Aptos Display"/>
      <w:i/>
      <w:iCs/>
      <w:color w:val="5B6D82"/>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CyberTrust Agents - Contrôles complémentaires à implémenter</dc:title>
  <dc:subject>Sécurité de l’IA agentique</dc:subject>
  <dc:creator>Équipe projet CyberTrust Agents</dc:creator>
  <cp:keywords>CyberTrust Agents, MCP, IA agentique, sécurité, CISO, guardrails</cp:keywords>
  <dc:description>generated by python-docx</dc:description>
  <cp:lastModifiedBy/>
  <cp:revision>1</cp:revision>
  <dcterms:created xsi:type="dcterms:W3CDTF">2013-12-23T23:15:00Z</dcterms:created>
  <dcterms:modified xsi:type="dcterms:W3CDTF">2013-12-23T23:15:00Z</dcterms:modified>
  <cp:category/>
</cp:coreProperties>
</file>