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ptos Display" w:cs="Aptos Display" w:eastAsia="Aptos Display" w:hAnsi="Aptos Display"/>
          <w:b/>
          <w:bCs/>
          <w:color w:val="1F3752"/>
          <w:sz w:val="56"/>
          <w:szCs w:val="56"/>
        </w:rPr>
        <w:t xml:space="preserve">CYBERTRUST AGENTS</w:t>
      </w:r>
    </w:p>
    <w:p>
      <w:pPr>
        <w:jc w:val="center"/>
      </w:pPr>
      <w:r>
        <w:rPr>
          <w:rFonts w:ascii="Cambria" w:cs="Cambria" w:eastAsia="Cambria" w:hAnsi="Cambria"/>
          <w:b/>
          <w:bCs/>
          <w:color w:val="365F91"/>
          <w:sz w:val="32"/>
          <w:szCs w:val="32"/>
        </w:rPr>
        <w:t xml:space="preserve">Pilote SecOps multi-LLM sécurisé destiné au CISO</w:t>
      </w:r>
    </w:p>
    <w:p>
      <w:pPr>
        <w:spacing w:after="100"/>
      </w:pPr>
    </w:p>
    <w:p>
      <w:pPr>
        <w:jc w:val="center"/>
      </w:pPr>
      <w:r>
        <w:rPr>
          <w:rFonts w:ascii="Cambria" w:cs="Cambria" w:eastAsia="Cambria" w:hAnsi="Cambria"/>
          <w:b/>
          <w:bCs/>
          <w:color w:val="1F3752"/>
          <w:sz w:val="44"/>
          <w:szCs w:val="44"/>
        </w:rPr>
        <w:t xml:space="preserve">LIVRABLES DE LA SEMAINE 2</w:t>
      </w:r>
    </w:p>
    <w:p>
      <w:pPr>
        <w:jc w:val="center"/>
      </w:pPr>
      <w:r>
        <w:rPr>
          <w:rFonts w:ascii="Cambria" w:cs="Cambria" w:eastAsia="Cambria" w:hAnsi="Cambria"/>
          <w:b w:val="false"/>
          <w:bCs w:val="false"/>
          <w:color w:val="595959"/>
          <w:sz w:val="24"/>
          <w:szCs w:val="24"/>
        </w:rPr>
        <w:t xml:space="preserve">Mock Data &amp; IAM minimal — catalogue Evidence, validation automatique, matrice IAM, compte de service minimal, rapport de conformité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Cambria" w:cs="Cambria" w:eastAsia="Cambria" w:hAnsi="Cambria"/>
          <w:b/>
          <w:bCs/>
          <w:color w:val="1F3752"/>
          <w:sz w:val="22"/>
          <w:szCs w:val="22"/>
        </w:rPr>
        <w:t xml:space="preserve">Préparé par</w:t>
      </w:r>
    </w:p>
    <w:p>
      <w:pPr>
        <w:jc w:val="center"/>
      </w:pPr>
      <w:r>
        <w:rPr>
          <w:rFonts w:ascii="Cambria" w:cs="Cambria" w:eastAsia="Cambria" w:hAnsi="Cambria"/>
          <w:b/>
          <w:bCs/>
          <w:color w:val="000000"/>
          <w:sz w:val="30"/>
          <w:szCs w:val="30"/>
        </w:rPr>
        <w:t xml:space="preserve">Ihab CHAHIDI</w:t>
      </w:r>
    </w:p>
    <w:p>
      <w:r>
        <w:br w:type="pag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365F91"/>
          <w:sz w:val="28"/>
          <w:szCs w:val="28"/>
        </w:rPr>
        <w:t xml:space="preserve">Résumé exécutif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La Semaine 2 du pilote CyberTrust Agents porte sur la constitution du jeu de données de test et la définition d'un IAM minimal. L'objectif SMART de la semaine est de produire 8 à 12 Evidence SecOps entièrement fictives, conformes au schéma Evidence défini en Semaine 1, couvrant les cas nominal, incomplet, contradictoire, non conforme et contenant une tentative d'injection de prompt — puis de valider automatiquement chaque Evidence et de configurer un compte de service standard à droits minimaux, limité à l'environnement de développement.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Mesurable : obtenir 100 % de conformité JSON pour les 10 Evidence fictives et vérifier que le compte de service ne peut accéder qu'aux ressources strictement nécessaires. Les cinq livrables produits sont : le catalogue de 10 Evidence fictives (catalogue/valid/), le catalogue négatif de 3 fixtures non conformes (catalogue/negative/), les outils de validation (tools/generate_hash.py, tools/validate_evidence.py), la matrice IAM du compte de service minimal, et le rapport de conformité automatisé.</w:t>
      </w:r>
    </w:p>
    <w:p>
      <w:pPr>
        <w:spacing w:after="100"/>
      </w:pPr>
    </w:p>
    <w:p>
      <w:pPr>
        <w:pStyle w:val="Heading1"/>
      </w:pPr>
      <w:r>
        <w:rPr>
          <w:rFonts w:ascii="Aptos Display" w:cs="Aptos Display" w:eastAsia="Aptos Display" w:hAnsi="Aptos Display"/>
          <w:b/>
          <w:bCs/>
          <w:color w:val="0F4761"/>
          <w:sz w:val="40"/>
          <w:szCs w:val="40"/>
        </w:rPr>
        <w:t xml:space="preserve">L1 — Catalogue Evidence</w:t>
      </w:r>
    </w:p>
    <w:p>
      <w:pPr>
        <w:pStyle w:val="Heading2"/>
      </w:pPr>
      <w:r>
        <w:rPr>
          <w:rFonts w:ascii="Aptos Display" w:cs="Aptos Display" w:eastAsia="Aptos Display" w:hAnsi="Aptos Display"/>
          <w:b/>
          <w:bCs/>
          <w:color w:val="0F4761"/>
          <w:sz w:val="32"/>
          <w:szCs w:val="32"/>
        </w:rPr>
        <w:t xml:space="preserve">1. Objectif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Produire un catalogue statique de 10 Evidence SecOps entièrement fictives, toutes rattachées à la même session (SES-20260722-PILOT) et à la même corrélation (COR-20260722-PILOT), couvrant les trois cas d'usage CISO définis en Semaine 1 ainsi que les scénarios nominal, incomplet et contradictoire requis par le plan de tests (L7 de la Semaine 1).</w:t>
      </w:r>
    </w:p>
    <w:p>
      <w:pPr>
        <w:pStyle w:val="Heading2"/>
      </w:pPr>
      <w:r>
        <w:rPr>
          <w:rFonts w:ascii="Aptos Display" w:cs="Aptos Display" w:eastAsia="Aptos Display" w:hAnsi="Aptos Display"/>
          <w:b/>
          <w:bCs/>
          <w:color w:val="0F4761"/>
          <w:sz w:val="32"/>
          <w:szCs w:val="32"/>
        </w:rPr>
        <w:t xml:space="preserve">2. Cas d'usage CISO couverts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UC1 — Clôture des tickets de sécurité critiques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UC2 — Rémédiation des vulnérabilités prioritaires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UC3 — Suivi des actions décidées lors des audits, incidents ou comités de sécurité</w:t>
      </w:r>
    </w:p>
    <w:p>
      <w:pPr>
        <w:spacing w:after="100"/>
      </w:pPr>
    </w:p>
    <w:p>
      <w:pPr>
        <w:pStyle w:val="Heading2"/>
      </w:pPr>
      <w:r>
        <w:rPr>
          <w:rFonts w:ascii="Aptos Display" w:cs="Aptos Display" w:eastAsia="Aptos Display" w:hAnsi="Aptos Display"/>
          <w:b/>
          <w:bCs/>
          <w:color w:val="0F4761"/>
          <w:sz w:val="32"/>
          <w:szCs w:val="32"/>
        </w:rPr>
        <w:t xml:space="preserve">3. Table de correspondance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4200"/>
        <w:gridCol w:w="1600"/>
        <w:gridCol w:w="1660"/>
      </w:tblGrid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EVD ID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Cas d'usage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Scénario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Tests couverts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EVD-0001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UC1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Ticket SEC-1452 marqué clôturé sans preuve de rémédiation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ticket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TC-01, TC-02, TC-13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EVD-0002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UC1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Validation record : aucune preuve de rémédiation associée au ticket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validation_record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TC-01, TC-02, TC-08, TC-13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EVD-0003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UC1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NOMINAL : ticket clôturé + rapport de correctif attaché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validation_record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TC-01, TC-03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EVD-0004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UC2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NOMINAL : scan post-correctif propre, CVE-2024-4711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scan_result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TC-01, TC-02, TC-08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EVD-0005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UC2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CONTRADICTOIRE : correctif déclaré mais vulnérabilité toujours présente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scan_result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TC-08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EVD-0006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UC2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INCOMPLET : rapport de correctif sans résultat de nouveau scan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report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TC-09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EVD-0007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UC3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NOMINAL : action clôturée, PV signé attaché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audit_record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TC-01, TC-03, TC-08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EVD-0008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UC3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INCOMPLET : action ouverte, sans propriétaire ni échéance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audit_record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TC-09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EVD-0009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UC3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CONTRADICTOIRE avec EVD-0007 : le PV est invalidé a posteriori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audit_record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TC-08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EVD-0010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UC2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INSUFFISANT : rapport partiel, données clés manquantes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report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TC-09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ptos Display" w:cs="Aptos Display" w:eastAsia="Aptos Display" w:hAnsi="Aptos Display"/>
          <w:b/>
          <w:bCs/>
          <w:color w:val="0F4761"/>
          <w:sz w:val="32"/>
          <w:szCs w:val="32"/>
        </w:rPr>
        <w:t xml:space="preserve">4. Paires contradictoires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Ces paires partagent volontairement les mêmes affected_assets et indicators afin que le Vérificateur puisse les mettre en regard (supporting_evidence / contradicting_evidence) 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EVD-0004 ↔ EVD-0005 — SRV-WEB-07 / CVE-2024-4711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EVD-0007 ↔ EVD-0009 — SRV-AUDIT-01 / AUD-3390, PV-3390</w:t>
      </w:r>
    </w:p>
    <w:p>
      <w:pPr>
        <w:pStyle w:val="Heading1"/>
      </w:pPr>
      <w:r>
        <w:rPr>
          <w:rFonts w:ascii="Aptos Display" w:cs="Aptos Display" w:eastAsia="Aptos Display" w:hAnsi="Aptos Display"/>
          <w:b/>
          <w:bCs/>
          <w:color w:val="0F4761"/>
          <w:sz w:val="40"/>
          <w:szCs w:val="40"/>
        </w:rPr>
        <w:t xml:space="preserve">L2 — Catalogue négatif</w:t>
      </w:r>
    </w:p>
    <w:p>
      <w:pPr>
        <w:pStyle w:val="Heading2"/>
      </w:pPr>
      <w:r>
        <w:rPr>
          <w:rFonts w:ascii="Aptos Display" w:cs="Aptos Display" w:eastAsia="Aptos Display" w:hAnsi="Aptos Display"/>
          <w:b/>
          <w:bCs/>
          <w:color w:val="0F4761"/>
          <w:sz w:val="32"/>
          <w:szCs w:val="32"/>
        </w:rPr>
        <w:t xml:space="preserve">1. Objectif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Trois fichiers Evidence intentionnellement invalides démontrent que tools/validate_evidence.py (puis, en Semaine 3-4, le serveur MCP lui-même) détecte et bloque correctement une entrée non conforme plutôt que de l'accepter silencieusement. Aucun de ces fichiers n'est utilisé par le pipeline Générateur/Vérificateur/Validateur : ce sont des fixtures de régression schéma et sécurité uniquement.</w:t>
      </w:r>
    </w:p>
    <w:p>
      <w:pPr>
        <w:pStyle w:val="Heading2"/>
      </w:pPr>
      <w:r>
        <w:rPr>
          <w:rFonts w:ascii="Aptos Display" w:cs="Aptos Display" w:eastAsia="Aptos Display" w:hAnsi="Aptos Display"/>
          <w:b/>
          <w:bCs/>
          <w:color w:val="0F4761"/>
          <w:sz w:val="32"/>
          <w:szCs w:val="32"/>
        </w:rPr>
        <w:t xml:space="preserve">2. Table des défauts intentionnels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3600"/>
        <w:gridCol w:w="1360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Défaut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Échec attendu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Cas de test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EVD-N001.json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Champ integrity_hash absent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Violation JSON Schema (required)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TC-07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EVD-N002.json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Champ non déclaré extra_field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Violation additionalProperties: false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TC-15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EVD-N003.json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Injection de prompt dans content.raw_data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Conforme au schéma, bloqué par le garde-fou anti-injection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TC-10, TC-11</w:t>
            </w:r>
          </w:p>
        </w:tc>
      </w:tr>
    </w:tbl>
    <w:p>
      <w:pPr>
        <w:pStyle w:val="Heading1"/>
      </w:pPr>
      <w:r>
        <w:rPr>
          <w:rFonts w:ascii="Aptos Display" w:cs="Aptos Display" w:eastAsia="Aptos Display" w:hAnsi="Aptos Display"/>
          <w:b/>
          <w:bCs/>
          <w:color w:val="0F4761"/>
          <w:sz w:val="40"/>
          <w:szCs w:val="40"/>
        </w:rPr>
        <w:t xml:space="preserve">L3 — Outils de validation</w:t>
      </w:r>
    </w:p>
    <w:p>
      <w:pPr>
        <w:pStyle w:val="Heading2"/>
      </w:pPr>
      <w:r>
        <w:rPr>
          <w:rFonts w:ascii="Aptos Display" w:cs="Aptos Display" w:eastAsia="Aptos Display" w:hAnsi="Aptos Display"/>
          <w:b/>
          <w:bCs/>
          <w:color w:val="0F4761"/>
          <w:sz w:val="32"/>
          <w:szCs w:val="32"/>
        </w:rPr>
        <w:t xml:space="preserve">1. tools/generate_hash.py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Calcule l'empreinte d'intégrité integrity_hash = sha256(json.dumps(content, sort_keys=True)) d'un objet Evidence, et peut mettre à jour un fichier Evidence existant sur disque avec le hash recalculé.</w:t>
      </w:r>
    </w:p>
    <w:p>
      <w:pPr>
        <w:pStyle w:val="Heading2"/>
      </w:pPr>
      <w:r>
        <w:rPr>
          <w:rFonts w:ascii="Aptos Display" w:cs="Aptos Display" w:eastAsia="Aptos Display" w:hAnsi="Aptos Display"/>
          <w:b/>
          <w:bCs/>
          <w:color w:val="0F4761"/>
          <w:sz w:val="32"/>
          <w:szCs w:val="32"/>
        </w:rPr>
        <w:t xml:space="preserve">2. tools/validate_evidence.py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Valide chaque Evidence de catalogue/valid/ contre le schéma JSON Evidence (Semaine 1, contrat L3), vérifie que l'empreinte d'intégrité correspond au contenu, et applique un contrôle minimal anti-injection de prompt sur content.summary et content.raw_data (TC-10 / TC-11). Le script produit un tableau de conformité et se termine avec le code de sortie 1 si un fichier échoue. Il valide également catalogue/negative/ et vérifie que les 3 fichiers y échouent bien comme attendu.</w:t>
      </w:r>
    </w:p>
    <w:p>
      <w:pPr>
        <w:pStyle w:val="Heading1"/>
      </w:pPr>
      <w:r>
        <w:rPr>
          <w:rFonts w:ascii="Aptos Display" w:cs="Aptos Display" w:eastAsia="Aptos Display" w:hAnsi="Aptos Display"/>
          <w:b/>
          <w:bCs/>
          <w:color w:val="0F4761"/>
          <w:sz w:val="40"/>
          <w:szCs w:val="40"/>
        </w:rPr>
        <w:t xml:space="preserve">L4 — Matrice IAM (compte de service minimal)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Conformément à la décision de gouvernance de la Semaine 1 (compte de service standard, droits minimaux, environnement de développement isolé), le pilote s'exécute avec un unique compte de service, sans accès à des données de production ni à SharePoint réel.</w:t>
      </w:r>
    </w:p>
    <w:p>
      <w:pPr>
        <w:pStyle w:val="Heading2"/>
      </w:pPr>
      <w:r>
        <w:rPr>
          <w:rFonts w:ascii="Aptos Display" w:cs="Aptos Display" w:eastAsia="Aptos Display" w:hAnsi="Aptos Display"/>
          <w:b/>
          <w:bCs/>
          <w:color w:val="0F4761"/>
          <w:sz w:val="32"/>
          <w:szCs w:val="32"/>
        </w:rPr>
        <w:t xml:space="preserve">1. Spécification du compte de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bottom w:val="single" w:color="D9E2F3" w:sz="4"/>
            </w:tcBorders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1F3752"/>
                <w:sz w:val="21"/>
                <w:szCs w:val="21"/>
              </w:rPr>
              <w:t xml:space="preserve">Nom</w:t>
            </w:r>
          </w:p>
        </w:tc>
        <w:tc>
          <w:tcPr>
            <w:tcW w:type="dxa" w:w="6480"/>
            <w:tcBorders>
              <w:bottom w:val="single" w:color="D9E2F3" w:sz="4"/>
            </w:tcBorders>
            <w:vAlign w:val="center"/>
          </w:tcPr>
          <w:p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svc-cybertrust-agents-dev</w:t>
            </w:r>
          </w:p>
        </w:tc>
      </w:tr>
      <w:tr>
        <w:tc>
          <w:tcPr>
            <w:tcW w:type="dxa" w:w="2880"/>
            <w:tcBorders>
              <w:bottom w:val="single" w:color="D9E2F3" w:sz="4"/>
            </w:tcBorders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1F3752"/>
                <w:sz w:val="21"/>
                <w:szCs w:val="21"/>
              </w:rPr>
              <w:t xml:space="preserve">Type</w:t>
            </w:r>
          </w:p>
        </w:tc>
        <w:tc>
          <w:tcPr>
            <w:tcW w:type="dxa" w:w="6480"/>
            <w:tcBorders>
              <w:bottom w:val="single" w:color="D9E2F3" w:sz="4"/>
            </w:tcBorders>
            <w:vAlign w:val="center"/>
          </w:tcPr>
          <w:p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Compte de service standard (non interactif, non privilégié)</w:t>
            </w:r>
          </w:p>
        </w:tc>
      </w:tr>
      <w:tr>
        <w:tc>
          <w:tcPr>
            <w:tcW w:type="dxa" w:w="2880"/>
            <w:tcBorders>
              <w:bottom w:val="single" w:color="D9E2F3" w:sz="4"/>
            </w:tcBorders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1F3752"/>
                <w:sz w:val="21"/>
                <w:szCs w:val="21"/>
              </w:rPr>
              <w:t xml:space="preserve">Environnement</w:t>
            </w:r>
          </w:p>
        </w:tc>
        <w:tc>
          <w:tcPr>
            <w:tcW w:type="dxa" w:w="6480"/>
            <w:tcBorders>
              <w:bottom w:val="single" w:color="D9E2F3" w:sz="4"/>
            </w:tcBorders>
            <w:vAlign w:val="center"/>
          </w:tcPr>
          <w:p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Développement isolé uniquement — aucun accès staging ou production</w:t>
            </w:r>
          </w:p>
        </w:tc>
      </w:tr>
      <w:tr>
        <w:tc>
          <w:tcPr>
            <w:tcW w:type="dxa" w:w="2880"/>
            <w:tcBorders>
              <w:bottom w:val="single" w:color="D9E2F3" w:sz="4"/>
            </w:tcBorders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1F3752"/>
                <w:sz w:val="21"/>
                <w:szCs w:val="21"/>
              </w:rPr>
              <w:t xml:space="preserve">Authentification</w:t>
            </w:r>
          </w:p>
        </w:tc>
        <w:tc>
          <w:tcPr>
            <w:tcW w:type="dxa" w:w="6480"/>
            <w:tcBorders>
              <w:bottom w:val="single" w:color="D9E2F3" w:sz="4"/>
            </w:tcBorders>
            <w:vAlign w:val="center"/>
          </w:tcPr>
          <w:p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HTTPS obligatoire, credentials en coffre secret (jamais en clair, jamais commités)</w:t>
            </w:r>
          </w:p>
        </w:tc>
      </w:tr>
      <w:tr>
        <w:tc>
          <w:tcPr>
            <w:tcW w:type="dxa" w:w="2880"/>
            <w:tcBorders>
              <w:bottom w:val="single" w:color="D9E2F3" w:sz="4"/>
            </w:tcBorders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1F3752"/>
                <w:sz w:val="21"/>
                <w:szCs w:val="21"/>
              </w:rPr>
              <w:t xml:space="preserve">Portée réseau</w:t>
            </w:r>
          </w:p>
        </w:tc>
        <w:tc>
          <w:tcPr>
            <w:tcW w:type="dxa" w:w="6480"/>
            <w:tcBorders>
              <w:bottom w:val="single" w:color="D9E2F3" w:sz="4"/>
            </w:tcBorders>
            <w:vAlign w:val="center"/>
          </w:tcPr>
          <w:p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Endpoints whitelistés du serveur MCP uniquement</w:t>
            </w:r>
          </w:p>
        </w:tc>
      </w:tr>
      <w:tr>
        <w:tc>
          <w:tcPr>
            <w:tcW w:type="dxa" w:w="2880"/>
            <w:tcBorders>
              <w:bottom w:val="single" w:color="D9E2F3" w:sz="4"/>
            </w:tcBorders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1F3752"/>
                <w:sz w:val="21"/>
                <w:szCs w:val="21"/>
              </w:rPr>
              <w:t xml:space="preserve">Durée de vie</w:t>
            </w:r>
          </w:p>
        </w:tc>
        <w:tc>
          <w:tcPr>
            <w:tcW w:type="dxa" w:w="6480"/>
            <w:tcBorders>
              <w:bottom w:val="single" w:color="D9E2F3" w:sz="4"/>
            </w:tcBorders>
            <w:vAlign w:val="center"/>
          </w:tcPr>
          <w:p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Limitée au pilote (S1–S5) ; révocation à l'issue de la Semaine 5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ptos Display" w:cs="Aptos Display" w:eastAsia="Aptos Display" w:hAnsi="Aptos Display"/>
          <w:b/>
          <w:bCs/>
          <w:color w:val="0F4761"/>
          <w:sz w:val="32"/>
          <w:szCs w:val="32"/>
        </w:rPr>
        <w:t xml:space="preserve">2. Droits accordés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Ressource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Droit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catalogue/valid, catalogue/negative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Lecture seule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Sélection d'Evidence pour la génération de Claims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Journal d'audit applicatif (dev)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Écriture append-only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Traçabilité des transitions, blocages et erreurs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API du serveur MCP interne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Appel restreint (POST/GET)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Orchestration validation → routage → scoring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LLM externes (Vérificateur/Validateur)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Appel sortant restreint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Isolation des rôles, endpoints déclarés uniquement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ptos Display" w:cs="Aptos Display" w:eastAsia="Aptos Display" w:hAnsi="Aptos Display"/>
          <w:b/>
          <w:bCs/>
          <w:color w:val="0F4761"/>
          <w:sz w:val="32"/>
          <w:szCs w:val="32"/>
        </w:rPr>
        <w:t xml:space="preserve">3. Droits explicitement refusés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4160"/>
      </w:tblGrid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Ressource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Refus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Données de production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Aucun accès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Pilote limité aux Evidence fictives (note de cadrage S1)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SharePoint réel / connecteur réel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Aucun accès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Reporté à l'industrialisation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Secrets en clair (code / journaux)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Interdit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Toute fuite est un incident (cf. TC-19)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Écriture sur le catalogue Evidence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Refusé à l'exécution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Catalogue statique en S2–S5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Accès direct VerificationResult/MCPScore/ValidationDecision par le Générateur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Refusé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Isolation des contextes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Contexte/prompts d'un autre rôle LLM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Refusé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Isolation stricte (TC-14)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Endpoints hors whitelist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Refusé (HTTP 403)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TC-12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Actions sensibles / rémédiation automatisée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Refusé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Le CISO reste l'unique autorité de décision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ptos Display" w:cs="Aptos Display" w:eastAsia="Aptos Display" w:hAnsi="Aptos Display"/>
          <w:b/>
          <w:bCs/>
          <w:color w:val="0F4761"/>
          <w:sz w:val="32"/>
          <w:szCs w:val="32"/>
        </w:rPr>
        <w:t xml:space="preserve">4. Principe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Droits minimaux, environnement isolé, aucune donnée réelle, aucun secret en dur, aucune action automatique : le compte de service ne peut techniquement accéder qu'aux ressources strictement nécessaires au traitement du catalogue statique d'Evidence fictives.</w:t>
      </w:r>
    </w:p>
    <w:p>
      <w:pPr>
        <w:pStyle w:val="Heading1"/>
      </w:pPr>
      <w:r>
        <w:rPr>
          <w:rFonts w:ascii="Aptos Display" w:cs="Aptos Display" w:eastAsia="Aptos Display" w:hAnsi="Aptos Display"/>
          <w:b/>
          <w:bCs/>
          <w:color w:val="0F4761"/>
          <w:sz w:val="40"/>
          <w:szCs w:val="40"/>
        </w:rPr>
        <w:t xml:space="preserve">L5 — Rapport de conformité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Généré à partir de python tools/validate_evidence.py, exécuté contre le catalogue Evidence de la Semaine 2.</w:t>
      </w:r>
    </w:p>
    <w:p>
      <w:pPr>
        <w:pStyle w:val="Heading2"/>
      </w:pPr>
      <w:r>
        <w:rPr>
          <w:rFonts w:ascii="Aptos Display" w:cs="Aptos Display" w:eastAsia="Aptos Display" w:hAnsi="Aptos Display"/>
          <w:b/>
          <w:bCs/>
          <w:color w:val="0F4761"/>
          <w:sz w:val="32"/>
          <w:szCs w:val="32"/>
        </w:rPr>
        <w:t xml:space="preserve">1. Résultat — catalogue/valid (10/10 attendu PASS)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0"/>
        <w:gridCol w:w="2340"/>
        <w:gridCol w:w="2680"/>
      </w:tblGrid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Schéma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Hash</w:t>
            </w:r>
          </w:p>
        </w:tc>
        <w:tc>
          <w:tcPr>
            <w:tcW w:type="dxa" w:w="2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Résultat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EVD-0001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2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EVD-0002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2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EVD-0003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2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EVD-0004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2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EVD-0005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2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EVD-0006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2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EVD-0007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2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EVD-0008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2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EVD-0009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2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EVD-0010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2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10/10 fichiers Evidence valides : PASS.</w:t>
      </w:r>
    </w:p>
    <w:p>
      <w:pPr>
        <w:spacing w:after="100"/>
      </w:pPr>
    </w:p>
    <w:p>
      <w:pPr>
        <w:pStyle w:val="Heading2"/>
      </w:pPr>
      <w:r>
        <w:rPr>
          <w:rFonts w:ascii="Aptos Display" w:cs="Aptos Display" w:eastAsia="Aptos Display" w:hAnsi="Aptos Display"/>
          <w:b/>
          <w:bCs/>
          <w:color w:val="0F4761"/>
          <w:sz w:val="32"/>
          <w:szCs w:val="32"/>
        </w:rPr>
        <w:t xml:space="preserve">2. Résultat — catalogue/negative (3/3 attendu FAIL)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0"/>
        <w:gridCol w:w="2340"/>
        <w:gridCol w:w="2680"/>
      </w:tblGrid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Schéma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Hash</w:t>
            </w:r>
          </w:p>
        </w:tc>
        <w:tc>
          <w:tcPr>
            <w:tcW w:type="dxa" w:w="2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Résultat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EVD-N001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FAIL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FAIL (attendu)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EVD-N002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FAIL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FAIL (attendu)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EVD-N003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FAIL</w:t>
            </w:r>
          </w:p>
        </w:tc>
        <w:tc>
          <w:tcPr>
            <w:tcW w:type="dxa" w:w="2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FAIL (attendu)</w:t>
            </w:r>
          </w:p>
        </w:tc>
      </w:tr>
    </w:tbl>
    <w:p>
      <w:pPr>
        <w:spacing w:after="12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3/3 fichiers négatifs échouent correctement comme attendu.</w:t>
      </w:r>
    </w:p>
    <w:p>
      <w:pPr>
        <w:spacing w:after="100"/>
      </w:pPr>
    </w:p>
    <w:p>
      <w:pPr>
        <w:pStyle w:val="Heading2"/>
      </w:pPr>
      <w:r>
        <w:rPr>
          <w:rFonts w:ascii="Aptos Display" w:cs="Aptos Display" w:eastAsia="Aptos Display" w:hAnsi="Aptos Display"/>
          <w:b/>
          <w:bCs/>
          <w:color w:val="0F4761"/>
          <w:sz w:val="32"/>
          <w:szCs w:val="32"/>
        </w:rPr>
        <w:t xml:space="preserve">3. Critères de sortie de la Semaine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Critère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7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validate_evidence.py sort avec le code 0 et 10/10 PASS sur catalogue/valid/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Toutes les Evidence de valid/ partagent le même session_id et correlation_id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Les paires contradictoires partagent affected_assets et indicators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catalogue/negative/ contient exactement 3 fichiers, tous en échec attendu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docs/ contient les 3 fichiers Markdown de synthèse S2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ptos" w:cs="Aptos" w:eastAsia="Aptos" w:hAnsi="Aptos"/>
          <w:b/>
          <w:bCs/>
          <w:color w:val="1F3752"/>
          <w:sz w:val="22"/>
          <w:szCs w:val="22"/>
        </w:rPr>
        <w:t xml:space="preserve">Semaine 2 : tous les critères de sortie sont satisfaits. Prêt pour la Semaine 3.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2026-07-24T08:40:03.196Z</dcterms:created>
  <dcterms:modified xsi:type="dcterms:W3CDTF">2026-07-24T08:40:03.197Z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