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ptos Display" w:cs="Aptos Display" w:eastAsia="Aptos Display" w:hAnsi="Aptos Display"/>
          <w:b/>
          <w:bCs/>
          <w:color w:val="1F3752"/>
          <w:sz w:val="56"/>
          <w:szCs w:val="56"/>
        </w:rPr>
        <w:t xml:space="preserve">CYBERTRUST AGENTS</w:t>
      </w:r>
    </w:p>
    <w:p>
      <w:pPr>
        <w:jc w:val="center"/>
      </w:pPr>
      <w:r>
        <w:rPr>
          <w:rFonts w:ascii="Cambria" w:cs="Cambria" w:eastAsia="Cambria" w:hAnsi="Cambria"/>
          <w:b/>
          <w:bCs/>
          <w:color w:val="365F91"/>
          <w:sz w:val="32"/>
          <w:szCs w:val="32"/>
        </w:rPr>
        <w:t xml:space="preserve">Pilote SecOps multi-LLM sécurisé destiné au CISO</w:t>
      </w:r>
    </w:p>
    <w:p>
      <w:pPr>
        <w:spacing w:after="100"/>
      </w:pPr>
    </w:p>
    <w:p>
      <w:pPr>
        <w:jc w:val="center"/>
      </w:pPr>
      <w:r>
        <w:rPr>
          <w:rFonts w:ascii="Cambria" w:cs="Cambria" w:eastAsia="Cambria" w:hAnsi="Cambria"/>
          <w:b/>
          <w:bCs/>
          <w:color w:val="1F3752"/>
          <w:sz w:val="36"/>
          <w:szCs w:val="36"/>
        </w:rPr>
        <w:t xml:space="preserve">TESTS PAR MODÈLE — COMPARAISON ATTENDU vs OBTENU</w:t>
      </w:r>
    </w:p>
    <w:p>
      <w:pPr>
        <w:jc w:val="center"/>
      </w:pPr>
      <w:r>
        <w:rPr>
          <w:rFonts w:ascii="Cambria" w:cs="Cambria" w:eastAsia="Cambria" w:hAnsi="Cambria"/>
          <w:b w:val="false"/>
          <w:bCs w:val="false"/>
          <w:color w:val="595959"/>
          <w:sz w:val="22"/>
          <w:szCs w:val="22"/>
        </w:rPr>
        <w:t xml:space="preserve">Les 8 scénarios de référence exécutés avec chacun des 3 modèles Ollama disponibles (Générateur + Vérificateur), comparés au résultat déterministe attendu</w:t>
      </w:r>
    </w:p>
    <w:p>
      <w:pPr>
        <w:spacing w:after="100"/>
      </w:pPr>
    </w:p>
    <w:p>
      <w:pPr>
        <w:spacing w:after="100"/>
      </w:pPr>
    </w:p>
    <w:p>
      <w:pPr>
        <w:spacing w:after="100"/>
      </w:pPr>
    </w:p>
    <w:p>
      <w:pPr>
        <w:jc w:val="center"/>
      </w:pPr>
      <w:r>
        <w:rPr>
          <w:rFonts w:ascii="Cambria" w:cs="Cambria" w:eastAsia="Cambria" w:hAnsi="Cambria"/>
          <w:b/>
          <w:bCs/>
          <w:color w:val="1F3752"/>
          <w:sz w:val="22"/>
          <w:szCs w:val="22"/>
        </w:rPr>
        <w:t xml:space="preserve">Préparé par</w:t>
      </w:r>
    </w:p>
    <w:p>
      <w:pPr>
        <w:jc w:val="center"/>
      </w:pPr>
      <w:r>
        <w:rPr>
          <w:rFonts w:ascii="Cambria" w:cs="Cambria" w:eastAsia="Cambria" w:hAnsi="Cambria"/>
          <w:b/>
          <w:bCs/>
          <w:color w:val="000000"/>
          <w:sz w:val="30"/>
          <w:szCs w:val="30"/>
        </w:rPr>
        <w:t xml:space="preserve">Ihab CHAHIDI</w:t>
      </w:r>
    </w:p>
    <w:p>
      <w:r>
        <w:br w:type="page"/>
      </w:r>
    </w:p>
    <w:p>
      <w:pPr>
        <w:spacing w:after="120" w:before="200"/>
      </w:pPr>
      <w:r>
        <w:rPr>
          <w:rFonts w:ascii="Calibri" w:cs="Calibri" w:eastAsia="Calibri" w:hAnsi="Calibri"/>
          <w:b/>
          <w:bCs/>
          <w:color w:val="365F91"/>
          <w:sz w:val="28"/>
          <w:szCs w:val="28"/>
        </w:rPr>
        <w:t xml:space="preserve">Méthodologie</w:t>
      </w:r>
    </w:p>
    <w:p>
      <w:pPr>
        <w:spacing w:after="120"/>
      </w:pPr>
      <w:r>
        <w:rPr>
          <w:rFonts w:ascii="Aptos" w:cs="Aptos" w:eastAsia="Aptos" w:hAnsi="Aptos"/>
          <w:sz w:val="22"/>
          <w:szCs w:val="22"/>
        </w:rPr>
        <w:t xml:space="preserve">Les 8 scénarios de test (mêmes Evidence et questions CISO que le rapport « Tests Comparatifs » initial) ont été exécutés une fois en mode mock (référence déterministe attendue) puis une fois par modèle Ollama local disponible sur cette machine (llama3.1, qwen2.5:7b-instruct, phi3:mini), chaque modèle tenant à la fois le rôle Générateur et le rôle Vérificateur. Le Validateur est désormais un moteur de politique entièrement déterministe (mcp_server/policy.py) : il ne dépend plus d'aucun modèle et n'est donc pas comparé ici — sa sortie est mécaniquement dérivée du statut de vérification obtenu.</w:t>
      </w:r>
    </w:p>
    <w:p>
      <w:pPr>
        <w:spacing w:after="100"/>
      </w:pPr>
    </w:p>
    <w:p>
      <w:pPr>
        <w:pStyle w:val="Heading1"/>
      </w:pPr>
      <w:r>
        <w:rPr>
          <w:rFonts w:ascii="Aptos Display" w:cs="Aptos Display" w:eastAsia="Aptos Display" w:hAnsi="Aptos Display"/>
          <w:b/>
          <w:bCs/>
          <w:color w:val="0F4761"/>
          <w:sz w:val="40"/>
          <w:szCs w:val="40"/>
        </w:rPr>
        <w:t xml:space="preserve">Synthèse par modèle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660"/>
      </w:tblGrid>
      <w:tr>
        <w:tc>
          <w:tcPr>
            <w:tcW w:type="dxa" w:w="30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Modèle</w:t>
            </w:r>
          </w:p>
        </w:tc>
        <w:tc>
          <w:tcPr>
            <w:tcW w:type="dxa" w:w="1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Score exact</w:t>
            </w:r>
          </w:p>
        </w:tc>
        <w:tc>
          <w:tcPr>
            <w:tcW w:type="dxa" w:w="2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Taux de conformité</w:t>
            </w:r>
          </w:p>
        </w:tc>
        <w:tc>
          <w:tcPr>
            <w:tcW w:type="dxa" w:w="26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Latence moyenne / scénario</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llama3.1</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8/8</w:t>
            </w:r>
          </w:p>
        </w:tc>
        <w:tc>
          <w:tcPr>
            <w:tcW w:type="dxa" w:w="24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bCs/>
                <w:color w:val="2E7D32"/>
                <w:sz w:val="17"/>
                <w:szCs w:val="17"/>
              </w:rPr>
              <w:t xml:space="preserve">100%</w:t>
            </w:r>
          </w:p>
        </w:tc>
        <w:tc>
          <w:tcPr>
            <w:tcW w:type="dxa" w:w="26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91.8s</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qwen2.5:7b-instruct</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8/8</w:t>
            </w:r>
          </w:p>
        </w:tc>
        <w:tc>
          <w:tcPr>
            <w:tcW w:type="dxa" w:w="24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bCs/>
                <w:color w:val="2E7D32"/>
                <w:sz w:val="17"/>
                <w:szCs w:val="17"/>
              </w:rPr>
              <w:t xml:space="preserve">100%</w:t>
            </w:r>
          </w:p>
        </w:tc>
        <w:tc>
          <w:tcPr>
            <w:tcW w:type="dxa" w:w="26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75.1s</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phi3:mini</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6/8</w:t>
            </w:r>
          </w:p>
        </w:tc>
        <w:tc>
          <w:tcPr>
            <w:tcW w:type="dxa" w:w="24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bCs/>
                <w:color w:val="B00020"/>
                <w:sz w:val="17"/>
                <w:szCs w:val="17"/>
              </w:rPr>
              <w:t xml:space="preserve">75%</w:t>
            </w:r>
          </w:p>
        </w:tc>
        <w:tc>
          <w:tcPr>
            <w:tcW w:type="dxa" w:w="26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62.7s</w:t>
            </w:r>
          </w:p>
        </w:tc>
      </w:tr>
    </w:tbl>
    <w:p>
      <w:pPr>
        <w:spacing w:after="100"/>
      </w:pPr>
    </w:p>
    <w:p>
      <w:pPr>
        <w:spacing w:after="120"/>
      </w:pPr>
      <w:r>
        <w:rPr>
          <w:rFonts w:ascii="Aptos" w:cs="Aptos" w:eastAsia="Aptos" w:hAnsi="Aptos"/>
          <w:b/>
          <w:bCs/>
          <w:sz w:val="22"/>
          <w:szCs w:val="22"/>
        </w:rPr>
        <w:t xml:space="preserve">llama3.1 et qwen2.5:7b-instruct obtiennent chacun 8/8 — une correspondance exacte avec la référence déterministe sur statut, score et décision pour les huit scénarios. phi3:mini obtient 6/8 : il échoue sur les deux scénarios nominaux à Evidence unique (S4, S5), en affirmant à tort un statut « contradicted » alors qu'aucune contradiction n'est structurellement possible avec une seule Evidence — un mode d'échec que le garde-fou déterministe ne corrige pas, car ce dernier ne fait que réparer un signal manqué, jamais un signal inventé sans contrepartie structurelle dans les données.</w:t>
      </w:r>
    </w:p>
    <w:p>
      <w:r>
        <w:br w:type="page"/>
      </w:r>
    </w:p>
    <w:p>
      <w:pPr>
        <w:pStyle w:val="Heading1"/>
      </w:pPr>
      <w:r>
        <w:rPr>
          <w:rFonts w:ascii="Aptos Display" w:cs="Aptos Display" w:eastAsia="Aptos Display" w:hAnsi="Aptos Display"/>
          <w:b/>
          <w:bCs/>
          <w:color w:val="0F4761"/>
          <w:sz w:val="40"/>
          <w:szCs w:val="40"/>
        </w:rPr>
        <w:t xml:space="preserve">Détail par scénario — llama3.1</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560"/>
      </w:tblGrid>
      <w:tr>
        <w:tc>
          <w:tcPr>
            <w:tcW w:type="dxa" w:w="7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Scenario</w:t>
            </w:r>
          </w:p>
        </w:tc>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Attendu (mock, deterministe)</w:t>
            </w:r>
          </w:p>
        </w:tc>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Obtenu (LLM reel)</w:t>
            </w:r>
          </w:p>
        </w:tc>
        <w:tc>
          <w:tcPr>
            <w:tcW w:type="dxa" w:w="15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Verdict</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S1</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61 HIGH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61 HIGH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S2</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S3</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23 LOW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23 LOW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S4</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supported / 42 MEDIUM / APPROVED_FOR_CISO_REVIEW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supported / 42 MEDIUM / APPROVED_FOR_CISO_REVIEW</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S5</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supported / 42 MEDIUM / APPROVED_FOR_CISO_REVIEW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supported / 42 MEDIUM / APPROVED_FOR_CISO_REVIEW</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S6</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S7</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26 LOW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26 LOW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S8</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29 LOW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29 LOW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bl>
    <w:p>
      <w:pPr>
        <w:spacing w:after="100"/>
      </w:pPr>
    </w:p>
    <w:p>
      <w:pPr>
        <w:spacing w:after="100"/>
      </w:pPr>
    </w:p>
    <w:p>
      <w:pPr>
        <w:pStyle w:val="Heading1"/>
      </w:pPr>
      <w:r>
        <w:rPr>
          <w:rFonts w:ascii="Aptos Display" w:cs="Aptos Display" w:eastAsia="Aptos Display" w:hAnsi="Aptos Display"/>
          <w:b/>
          <w:bCs/>
          <w:color w:val="0F4761"/>
          <w:sz w:val="40"/>
          <w:szCs w:val="40"/>
        </w:rPr>
        <w:t xml:space="preserve">Détail par scénario — qwen2.5:7b-instruct</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560"/>
      </w:tblGrid>
      <w:tr>
        <w:tc>
          <w:tcPr>
            <w:tcW w:type="dxa" w:w="7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Scenario</w:t>
            </w:r>
          </w:p>
        </w:tc>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Attendu (mock, deterministe)</w:t>
            </w:r>
          </w:p>
        </w:tc>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Obtenu (LLM reel)</w:t>
            </w:r>
          </w:p>
        </w:tc>
        <w:tc>
          <w:tcPr>
            <w:tcW w:type="dxa" w:w="15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Verdict</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S1</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61 HIGH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61 HIGH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S2</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S3</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23 LOW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23 LOW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S4</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supported / 42 MEDIUM / APPROVED_FOR_CISO_REVIEW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supported / 42 MEDIUM / APPROVED_FOR_CISO_REVIEW</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S5</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supported / 42 MEDIUM / APPROVED_FOR_CISO_REVIEW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supported / 42 MEDIUM / APPROVED_FOR_CISO_REVIEW</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S6</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S7</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26 LOW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26 LOW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S8</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29 LOW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29 LOW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bl>
    <w:p>
      <w:r>
        <w:br w:type="page"/>
      </w:r>
    </w:p>
    <w:p>
      <w:pPr>
        <w:pStyle w:val="Heading1"/>
      </w:pPr>
      <w:r>
        <w:rPr>
          <w:rFonts w:ascii="Aptos Display" w:cs="Aptos Display" w:eastAsia="Aptos Display" w:hAnsi="Aptos Display"/>
          <w:b/>
          <w:bCs/>
          <w:color w:val="0F4761"/>
          <w:sz w:val="40"/>
          <w:szCs w:val="40"/>
        </w:rPr>
        <w:t xml:space="preserve">Détail par scénario — phi3:mini</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560"/>
      </w:tblGrid>
      <w:tr>
        <w:tc>
          <w:tcPr>
            <w:tcW w:type="dxa" w:w="7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Scenario</w:t>
            </w:r>
          </w:p>
        </w:tc>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Attendu (mock, deterministe)</w:t>
            </w:r>
          </w:p>
        </w:tc>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Obtenu (LLM reel)</w:t>
            </w:r>
          </w:p>
        </w:tc>
        <w:tc>
          <w:tcPr>
            <w:tcW w:type="dxa" w:w="15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Verdict</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S1</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61 HIGH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61 HIGH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S2</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S3</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23 LOW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23 LOW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S4</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supported / 42 MEDIUM / APPROVED_FOR_CISO_REVIEW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0 LOW / HUMAN_REVIEW</w:t>
            </w:r>
          </w:p>
        </w:tc>
        <w:tc>
          <w:tcPr>
            <w:tcW w:type="dxa" w:w="1560"/>
            <w:tcBorders>
              <w:top w:val="single" w:color="000000" w:sz="4"/>
              <w:left w:val="single" w:color="000000" w:sz="4"/>
              <w:bottom w:val="single" w:color="000000" w:sz="4"/>
              <w:right w:val="single" w:color="000000" w:sz="4"/>
            </w:tcBorders>
            <w:shd w:fill="FDECEA" w:color="auto" w:val="clear"/>
            <w:vAlign w:val="center"/>
          </w:tcPr>
          <w:p>
            <w:pPr>
              <w:jc w:val="left"/>
            </w:pPr>
            <w:r>
              <w:rPr>
                <w:rFonts w:ascii="Cambria" w:cs="Cambria" w:eastAsia="Cambria" w:hAnsi="Cambria"/>
                <w:b/>
                <w:bCs/>
                <w:color w:val="B00020"/>
                <w:sz w:val="17"/>
                <w:szCs w:val="17"/>
              </w:rPr>
              <w:t xml:space="preserve">✗ Divergent</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S5</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supported / 42 MEDIUM / APPROVED_FOR_CISO_REVIEW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0 LOW / HUMAN_REVIEW</w:t>
            </w:r>
          </w:p>
        </w:tc>
        <w:tc>
          <w:tcPr>
            <w:tcW w:type="dxa" w:w="1560"/>
            <w:tcBorders>
              <w:top w:val="single" w:color="000000" w:sz="4"/>
              <w:left w:val="single" w:color="000000" w:sz="4"/>
              <w:bottom w:val="single" w:color="000000" w:sz="4"/>
              <w:right w:val="single" w:color="000000" w:sz="4"/>
            </w:tcBorders>
            <w:shd w:fill="FDECEA" w:color="auto" w:val="clear"/>
            <w:vAlign w:val="center"/>
          </w:tcPr>
          <w:p>
            <w:pPr>
              <w:jc w:val="left"/>
            </w:pPr>
            <w:r>
              <w:rPr>
                <w:rFonts w:ascii="Cambria" w:cs="Cambria" w:eastAsia="Cambria" w:hAnsi="Cambria"/>
                <w:b/>
                <w:bCs/>
                <w:color w:val="B00020"/>
                <w:sz w:val="17"/>
                <w:szCs w:val="17"/>
              </w:rPr>
              <w:t xml:space="preserve">✗ Divergent</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S6</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contradicted / 20 LOW / HUMAN_REVIEW</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S7</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26 LOW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26 LOW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S8</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29 LOW /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insufficient_evidence / 29 LOW / INSUFFICIENT_EVIDENCE</w:t>
            </w:r>
          </w:p>
        </w:tc>
        <w:tc>
          <w:tcPr>
            <w:tcW w:type="dxa" w:w="1560"/>
            <w:tcBorders>
              <w:top w:val="single" w:color="000000" w:sz="4"/>
              <w:left w:val="single" w:color="000000" w:sz="4"/>
              <w:bottom w:val="single" w:color="000000" w:sz="4"/>
              <w:right w:val="single" w:color="000000" w:sz="4"/>
            </w:tcBorders>
            <w:shd w:fill="E8F5E9" w:color="auto" w:val="clear"/>
            <w:vAlign w:val="center"/>
          </w:tcPr>
          <w:p>
            <w:pPr>
              <w:jc w:val="left"/>
            </w:pPr>
            <w:r>
              <w:rPr>
                <w:rFonts w:ascii="Cambria" w:cs="Cambria" w:eastAsia="Cambria" w:hAnsi="Cambria"/>
                <w:b/>
                <w:bCs/>
                <w:color w:val="2E7D32"/>
                <w:sz w:val="17"/>
                <w:szCs w:val="17"/>
              </w:rPr>
              <w:t xml:space="preserve">✓ Conforme</w:t>
            </w:r>
          </w:p>
        </w:tc>
      </w:tr>
    </w:tbl>
    <w:p>
      <w:pPr>
        <w:spacing w:after="100"/>
      </w:pPr>
    </w:p>
    <w:p>
      <w:pPr>
        <w:spacing w:after="120"/>
      </w:pPr>
      <w:r>
        <w:rPr>
          <w:rFonts w:ascii="Aptos" w:cs="Aptos" w:eastAsia="Aptos" w:hAnsi="Aptos"/>
          <w:i/>
          <w:iCs/>
          <w:color w:val="595959"/>
          <w:sz w:val="22"/>
          <w:szCs w:val="22"/>
        </w:rPr>
        <w:t xml:space="preserve">Scénarios S4 et S5 en divergence : Evidence unique (EVD-0003 pour S4, EVD-0007 pour S5), aucun champ marqué « absent », aucune paire de contradiction structurelle possible — le Claim généré est pourtant correct et neutre, mais le Vérificateur phi3:mini renvoie « contradicted » sans justification structurelle valable, ce que rien dans le garde-fou déterministe (conçu pour rattraper des signaux manqués, pas des signaux inventés) ne corrige.</w:t>
      </w:r>
    </w:p>
    <w:p>
      <w:r>
        <w:br w:type="page"/>
      </w:r>
    </w:p>
    <w:p>
      <w:pPr>
        <w:pStyle w:val="Heading1"/>
      </w:pPr>
      <w:r>
        <w:rPr>
          <w:rFonts w:ascii="Aptos Display" w:cs="Aptos Display" w:eastAsia="Aptos Display" w:hAnsi="Aptos Display"/>
          <w:b/>
          <w:bCs/>
          <w:color w:val="0F4761"/>
          <w:sz w:val="40"/>
          <w:szCs w:val="40"/>
        </w:rPr>
        <w:t xml:space="preserve">Claims générés — llama3.1</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160"/>
      </w:tblGrid>
      <w:tr>
        <w:tc>
          <w:tcPr>
            <w:tcW w:type="dxa" w:w="7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Scenario</w:t>
            </w:r>
          </w:p>
        </w:tc>
        <w:tc>
          <w:tcPr>
            <w:tcW w:type="dxa" w:w="2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Intitule</w:t>
            </w:r>
          </w:p>
        </w:tc>
        <w:tc>
          <w:tcPr>
            <w:tcW w:type="dxa" w:w="51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Claim genere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S1</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Ticket cloture sans preuve de remediation</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ticket SEC-1452 est marque comme cloture par l'équipe IT et n'a pas de preuve technique de remediation associée à lui.</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S2</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Scan post-correctif contradictoire</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La vulnerabilite CVE-2024-4711 n'est pas corrigee sur l'actif SRV-WEB-07, car le scan de controle detecte toujours la vulnerabilite malgre le correctif declare applique.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S3</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Rapport de correctif partiel</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correctif CVE-2024-6104 n'a pas ete applique avec succes.</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S4</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Ticket cloture avec preuve valide (nominal)</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ticket critique SEC-2201 est correctement remedie.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S5</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Action d'audit cloturee, PV signe (nominal)</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L'action d'audit AUD-3390 est cloturee et accompagnee d'un proces-verbal signe avec un statut de fermeture le 2026-07-20T09:00:00Z et un statut du PV de Signed, avec une deadline le 2026-07-15 et un proprietaire RSSI-Adjoint, sur l'asset SRV-AUDIT-01.</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S6</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PV d'audit invalide a posteriori</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PV associe à AUD-3390 est invalidé par le service Conformite.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S7</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Action d'audit ouverte, sans proprietaire</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L'action AUD-3402 est ouverte sans proprietaire ni echeance assignes.</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S8</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Rapport de correctif sans nouveau scan</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correctif CVE-2024-5820 est applique et verifie.</w:t>
            </w:r>
          </w:p>
        </w:tc>
      </w:tr>
    </w:tbl>
    <w:p>
      <w:pPr>
        <w:spacing w:after="100"/>
      </w:pPr>
    </w:p>
    <w:p>
      <w:pPr>
        <w:spacing w:after="100"/>
      </w:pPr>
    </w:p>
    <w:p>
      <w:pPr>
        <w:pStyle w:val="Heading1"/>
      </w:pPr>
      <w:r>
        <w:rPr>
          <w:rFonts w:ascii="Aptos Display" w:cs="Aptos Display" w:eastAsia="Aptos Display" w:hAnsi="Aptos Display"/>
          <w:b/>
          <w:bCs/>
          <w:color w:val="0F4761"/>
          <w:sz w:val="40"/>
          <w:szCs w:val="40"/>
        </w:rPr>
        <w:t xml:space="preserve">Claims générés — qwen2.5:7b-instruct</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160"/>
      </w:tblGrid>
      <w:tr>
        <w:tc>
          <w:tcPr>
            <w:tcW w:type="dxa" w:w="7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Scenario</w:t>
            </w:r>
          </w:p>
        </w:tc>
        <w:tc>
          <w:tcPr>
            <w:tcW w:type="dxa" w:w="2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Intitule</w:t>
            </w:r>
          </w:p>
        </w:tc>
        <w:tc>
          <w:tcPr>
            <w:tcW w:type="dxa" w:w="51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Claim genere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S1</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Ticket cloture sans preuve de remediation</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ticket SEC-1452 a ete correctement remedie.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S2</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Scan post-correctif contradictoire</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La vulnerabilite CVE-2024-4711 est declaree corrigee, mais un scan de controle detecte toujours la presence de cette vulnerabilite sur l'actif concerne.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S3</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Rapport de correctif partiel</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correctif CVE-2024-6104 est applique.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S4</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Ticket cloture avec preuve valide (nominal)</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ticket SEC-2201 est correctement remedie.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S5</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Action d'audit cloturee, PV signe (nominal)</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L'action d'audit AUD-3390 est cloturee correctement.</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S6</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PV d'audit invalide a posteriori</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PV associe a AUD-3390 est valide.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S7</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Action d'audit ouverte, sans proprietaire</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L'action AUD-3402 est traitee.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S8</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Rapport de correctif sans nouveau scan</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correctif CVE-2024-5820 est applique et verifie.</w:t>
            </w:r>
          </w:p>
        </w:tc>
      </w:tr>
    </w:tbl>
    <w:p>
      <w:r>
        <w:br w:type="page"/>
      </w:r>
    </w:p>
    <w:p>
      <w:pPr>
        <w:pStyle w:val="Heading1"/>
      </w:pPr>
      <w:r>
        <w:rPr>
          <w:rFonts w:ascii="Aptos Display" w:cs="Aptos Display" w:eastAsia="Aptos Display" w:hAnsi="Aptos Display"/>
          <w:b/>
          <w:bCs/>
          <w:color w:val="0F4761"/>
          <w:sz w:val="40"/>
          <w:szCs w:val="40"/>
        </w:rPr>
        <w:t xml:space="preserve">Claims générés — phi3:mini</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160"/>
      </w:tblGrid>
      <w:tr>
        <w:tc>
          <w:tcPr>
            <w:tcW w:type="dxa" w:w="7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Scenario</w:t>
            </w:r>
          </w:p>
        </w:tc>
        <w:tc>
          <w:tcPr>
            <w:tcW w:type="dxa" w:w="2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Intitule</w:t>
            </w:r>
          </w:p>
        </w:tc>
        <w:tc>
          <w:tcPr>
            <w:tcW w:type="dxa" w:w="51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7"/>
                <w:szCs w:val="17"/>
              </w:rPr>
              <w:t xml:space="preserve">Claim genere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S1</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Ticket cloture sans preuve de remediation</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ticket SEC-1452 n'est pas correctement remedie.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S2</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Scan post-correctif contradictoire</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PV associé à CVE-2024-4711 est invalide.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S3</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Rapport de correctif partiel</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correctif CVE-2024-6104 n'est pas appliqué.</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S4</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Ticket cloture avec preuve valide (nominal)</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ticket SEC-2201 est correctement remedie.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S5</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Action d'audit cloturee, PV signe (nominal)</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procesus d'audit AUD-3390 est clôturé.</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S6</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PV d'audit invalide a posteriori</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PV associe a AUD-3390 est invalide.</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S7</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Action d'audit ouverte, sans proprietaire</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L'action AUD-3402 reste ouverte sans proprietaire ni echeance assignes.</w:t>
            </w:r>
          </w:p>
        </w:tc>
      </w:tr>
      <w:tr>
        <w:tc>
          <w:tcPr>
            <w:tcW w:type="dxa" w:w="7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S8</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Rapport de correctif sans nouveau scan</w:t>
            </w:r>
          </w:p>
        </w:tc>
        <w:tc>
          <w:tcPr>
            <w:tcW w:type="dxa" w:w="5160"/>
            <w:tcBorders>
              <w:top w:val="single" w:color="000000" w:sz="4"/>
              <w:left w:val="single" w:color="000000" w:sz="4"/>
              <w:bottom w:val="single" w:color="000000" w:sz="4"/>
              <w:right w:val="single" w:color="000000" w:sz="4"/>
            </w:tcBorders>
            <w:shd w:fill="FFFFFF" w:color="auto" w:val="clear"/>
            <w:vAlign w:val="center"/>
          </w:tcPr>
          <w:p>
            <w:pPr>
              <w:jc w:val="left"/>
            </w:pPr>
            <w:r>
              <w:rPr>
                <w:rFonts w:ascii="Cambria" w:cs="Cambria" w:eastAsia="Cambria" w:hAnsi="Cambria"/>
                <w:b w:val="false"/>
                <w:bCs w:val="false"/>
                <w:color w:val="000000"/>
                <w:sz w:val="17"/>
                <w:szCs w:val="17"/>
              </w:rPr>
              <w:t xml:space="preserve">Le correctif CVE-2024-5820 n'a pas été appliqué et ne peut être vérifié.</w:t>
            </w:r>
          </w:p>
        </w:tc>
      </w:tr>
    </w:tbl>
    <w:p>
      <w:r>
        <w:br w:type="page"/>
      </w:r>
    </w:p>
    <w:p>
      <w:pPr>
        <w:pStyle w:val="Heading1"/>
      </w:pPr>
      <w:r>
        <w:rPr>
          <w:rFonts w:ascii="Aptos Display" w:cs="Aptos Display" w:eastAsia="Aptos Display" w:hAnsi="Aptos Display"/>
          <w:b/>
          <w:bCs/>
          <w:color w:val="0F4761"/>
          <w:sz w:val="40"/>
          <w:szCs w:val="40"/>
        </w:rPr>
        <w:t xml:space="preserve">Anomalies détectées</w:t>
      </w:r>
    </w:p>
    <w:p>
      <w:pPr>
        <w:spacing w:after="80"/>
        <w:ind w:left="360"/>
      </w:pPr>
      <w:r>
        <w:rPr>
          <w:rFonts w:ascii="Aptos" w:cs="Aptos" w:eastAsia="Aptos" w:hAnsi="Aptos"/>
          <w:sz w:val="22"/>
          <w:szCs w:val="22"/>
        </w:rPr>
        <w:t xml:space="preserve">• phi3:mini, S4 et S5 : statut « contradicted » affirmé à tort sur une Evidence unique et cohérente, sans aucun signal structurel de contradiction — la divergence la plus significative de cette campagne (impact direct sur le routage : HUMAN_REVIEW au lieu d'une clôture informationnelle sans CISO).</w:t>
      </w:r>
    </w:p>
    <w:p>
      <w:pPr>
        <w:spacing w:after="80"/>
        <w:ind w:left="360"/>
      </w:pPr>
      <w:r>
        <w:rPr>
          <w:rFonts w:ascii="Aptos" w:cs="Aptos" w:eastAsia="Aptos" w:hAnsi="Aptos"/>
          <w:sz w:val="22"/>
          <w:szCs w:val="22"/>
        </w:rPr>
        <w:t xml:space="preserve">• phi3:mini, S2 : le Claim généré (« Le PV associé à CVE-2024-4711 est invalide. ») mélange un concept d'un autre type de scénario (PV d'audit) avec une vulnérabilité CVE — un Claim conceptuellement confus, bien que le statut final obtenu (contradicted) coïncide avec l'attendu. Cas de « bonne décision, mauvais raisonnement » à surveiller : la conformité du résultat final ne garantit pas la qualité du raisonnement intermédiaire.</w:t>
      </w:r>
    </w:p>
    <w:p>
      <w:pPr>
        <w:spacing w:after="80"/>
        <w:ind w:left="360"/>
      </w:pPr>
      <w:r>
        <w:rPr>
          <w:rFonts w:ascii="Aptos" w:cs="Aptos" w:eastAsia="Aptos" w:hAnsi="Aptos"/>
          <w:sz w:val="22"/>
          <w:szCs w:val="22"/>
        </w:rPr>
        <w:t xml:space="preserve">• llama3.1, S5 : le Claim généré est correct mais verbeux — il énumère de nombreux détails bruts des Evidence (dates, statuts, identifiants d'actif) plutôt que de rester une proposition unique et concise, sans toutefois violer la contrainte technique d'atomicité (une seule phrase, un seul point).</w:t>
      </w:r>
    </w:p>
    <w:p>
      <w:pPr>
        <w:spacing w:after="80"/>
        <w:ind w:left="360"/>
      </w:pPr>
      <w:r>
        <w:rPr>
          <w:rFonts w:ascii="Aptos" w:cs="Aptos" w:eastAsia="Aptos" w:hAnsi="Aptos"/>
          <w:sz w:val="22"/>
          <w:szCs w:val="22"/>
        </w:rPr>
        <w:t xml:space="preserve">• Aucune anomalie de sécurité (injection, fuite de contexte, identifiant fabriqué) n'a été observée sur les 24 exécutions réelles.</w:t>
      </w:r>
    </w:p>
    <w:p>
      <w:pPr>
        <w:spacing w:after="100"/>
      </w:pPr>
    </w:p>
    <w:p>
      <w:pPr>
        <w:pStyle w:val="Heading1"/>
      </w:pPr>
      <w:r>
        <w:rPr>
          <w:rFonts w:ascii="Aptos Display" w:cs="Aptos Display" w:eastAsia="Aptos Display" w:hAnsi="Aptos Display"/>
          <w:b/>
          <w:bCs/>
          <w:color w:val="0F4761"/>
          <w:sz w:val="40"/>
          <w:szCs w:val="40"/>
        </w:rPr>
        <w:t xml:space="preserve">Conclusion et recommandation</w:t>
      </w:r>
    </w:p>
    <w:p>
      <w:pPr>
        <w:spacing w:after="120"/>
      </w:pPr>
      <w:r>
        <w:rPr>
          <w:rFonts w:ascii="Aptos" w:cs="Aptos" w:eastAsia="Aptos" w:hAnsi="Aptos"/>
          <w:sz w:val="22"/>
          <w:szCs w:val="22"/>
        </w:rPr>
        <w:t xml:space="preserve">Avec le pipeline durci (Claim déclaratif contraint, garde-fou déterministe du Vérificateur, Validateur entièrement déterministe), llama3.1 et qwen2.5:7b-instruct sont tous deux fiables à 100% sur cette série de 8 scénarios de référence — un résultat net par rapport aux résultats mitigés observés avant cette revue (voir CYBERTRUST AGENTS - Tests Comparatifs.docx). phi3:mini, malgré sa rapidité, reste déconseillé pour le rôle de Vérificateur : son mode d'échec (contradiction hallucinée sur Evidence unique) n'est pas couvert par les garde-fous actuels, qui protègent contre l'sous-détection mais pas contre la sur-affirmation. Aucune bascule de modèle par défaut n'est nécessaire dans mcp_server/config.py au vu de ces résultats ; le durcissement du pipeline lui-même s'avère être le facteur déterminant, pas le choix du modèle.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2026-07-27T13:56:24.924Z</dcterms:created>
  <dcterms:modified xsi:type="dcterms:W3CDTF">2026-07-27T13:56:24.925Z</dcterms:modified>
</cp:coreProperties>
</file>

<file path=docProps/custom.xml><?xml version="1.0" encoding="utf-8"?>
<Properties xmlns="http://schemas.openxmlformats.org/officeDocument/2006/custom-properties" xmlns:vt="http://schemas.openxmlformats.org/officeDocument/2006/docPropsVTypes"/>
</file>