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CyberTrust Agents</w:t>
      </w:r>
    </w:p>
    <w:p>
      <w:pPr>
        <w:pStyle w:val="Heading1"/>
      </w:pPr>
      <w:r>
        <w:t xml:space="preserve">Benchmark — Les trois modèles en tant que contrat Générateur</w:t>
      </w:r>
    </w:p>
    <w:p>
      <w:pPr>
        <w:spacing w:after="120"/>
      </w:pPr>
      <w:r>
        <w:rPr>
          <w:i/>
          <w:iCs/>
        </w:rPr>
        <w:t xml:space="preserve">Foundation-Sec-8B vs Llama 3.1 vs Qwen 2.5 : conformité au contrat du rôle Générateur, pas au routage final de la chaîne.</w:t>
      </w:r>
    </w:p>
    <w:p/>
    <w:p>
      <w:pPr>
        <w:pStyle w:val="Heading2"/>
        <w:spacing w:before="200"/>
      </w:pPr>
      <w:r>
        <w:t xml:space="preserve">Ce que ce document mesure</w:t>
      </w:r>
    </w:p>
    <w:p>
      <w:pPr>
        <w:spacing w:after="120"/>
      </w:pPr>
      <w:r>
        <w:t xml:space="preserve">Le document précédent (CyberTrust_Agents_Benchmark_Generateur.docx) comparait le résultat final de la chaîne complète (COMPLETED / BLOCKED / INSUFFICIENT_EVIDENCE). Celui-ci se concentre uniquement sur le contrat du rôle Générateur lui-même, tel que défini par mcp_server/generator_prompts.py et appliqué par mcp_server/generator_claims.py :</w:t>
      </w:r>
    </w:p>
    <w:p>
      <w:pPr>
        <w:pStyle w:val="ListParagraph"/>
        <w:numPr>
          <w:ilvl w:val="0"/>
          <w:numId w:val="1"/>
        </w:numPr>
        <w:spacing w:after="60"/>
      </w:pPr>
      <w:r>
        <w:t xml:space="preserve">Validité JSON/schéma de la Claim produite (GeneratedClaim)</w:t>
      </w:r>
    </w:p>
    <w:p>
      <w:pPr>
        <w:pStyle w:val="ListParagraph"/>
        <w:numPr>
          <w:ilvl w:val="0"/>
          <w:numId w:val="1"/>
        </w:numPr>
        <w:spacing w:after="60"/>
      </w:pPr>
      <w:r>
        <w:t xml:space="preserve">Fidélité des citations : aucun evidence_id ou reference_id qui n'était pas réellement dans le contexte récupéré</w:t>
      </w:r>
    </w:p>
    <w:p>
      <w:pPr>
        <w:pStyle w:val="ListParagraph"/>
        <w:numPr>
          <w:ilvl w:val="0"/>
          <w:numId w:val="1"/>
        </w:numPr>
        <w:spacing w:after="60"/>
      </w:pPr>
      <w:r>
        <w:t xml:space="preserve">Séparation evidence_ids (preuves corporate) vs reference_ids (CVE/MITRE/runbook) — jamais mélangés</w:t>
      </w:r>
    </w:p>
    <w:p>
      <w:pPr>
        <w:pStyle w:val="ListParagraph"/>
        <w:numPr>
          <w:ilvl w:val="0"/>
          <w:numId w:val="1"/>
        </w:numPr>
        <w:spacing w:after="60"/>
      </w:pPr>
      <w:r>
        <w:t xml:space="preserve">Autorité de source : ne jamais conclure une remédiation à partir d'un ticket seul, sans preuve de vérification technique</w:t>
      </w:r>
    </w:p>
    <w:p>
      <w:pPr>
        <w:pStyle w:val="ListParagraph"/>
        <w:numPr>
          <w:ilvl w:val="0"/>
          <w:numId w:val="1"/>
        </w:numPr>
        <w:spacing w:after="60"/>
      </w:pPr>
      <w:r>
        <w:t xml:space="preserve">Résilience face à une entrée adverse/hors-contexte (scénario G) sans jamais halluciner de citation</w:t>
      </w:r>
    </w:p>
    <w:p>
      <w:r>
        <w:br w:type="page"/>
      </w:r>
    </w:p>
    <w:p>
      <w:pPr>
        <w:pStyle w:val="Heading1"/>
        <w:spacing w:before="300"/>
      </w:pPr>
      <w:r>
        <w:t xml:space="preserve">Correction par rapport au benchmark précédent</w:t>
      </w:r>
    </w:p>
    <w:p>
      <w:pPr>
        <w:spacing w:after="120"/>
      </w:pPr>
      <w:r>
        <w:t xml:space="preserve">Le document précédent indiquait que Foundation-Sec produisait "une sortie structurée légèrement plus fiable (moins de cas limites 502)". Une relecture détaillée des messages d'erreur montre que c'est inexact : sur les 5 échecs HTTP 502 observés au total sur les trois modèles, seuls certains sont de vraies violations du contrat Générateur (citation hallucinée ou autorité de source violée) — les autres sont un bug de l'adaptateur de l'orchestrateur (incapable de gérer proprement un Claim "insufficient_evidence"), qui n'est pas imputable au modèle.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c>
          <w:tcPr>
            <w:tcW w:type="dxa" w:w="2600"/>
            <w:shd w:fill="D6DBDF" w:val="clear"/>
          </w:tcPr>
          <w:p>
            <w:r>
              <w:rPr>
                <w:b/>
                <w:bCs/>
              </w:rPr>
              <w:t xml:space="preserve">Échec</w:t>
            </w:r>
          </w:p>
        </w:tc>
        <w:tc>
          <w:tcPr>
            <w:tcW w:type="dxa" w:w="2200"/>
            <w:shd w:fill="D6DBDF" w:val="clear"/>
          </w:tcPr>
          <w:p>
            <w:r>
              <w:rPr>
                <w:b/>
                <w:bCs/>
              </w:rPr>
              <w:t xml:space="preserve">Modèle / Scénario</w:t>
            </w:r>
          </w:p>
        </w:tc>
        <w:tc>
          <w:tcPr>
            <w:tcW w:type="dxa" w:w="4550"/>
            <w:shd w:fill="D6DBDF" w:val="clear"/>
          </w:tcPr>
          <w:p>
            <w:r>
              <w:rPr>
                <w:b/>
                <w:bCs/>
              </w:rPr>
              <w:t xml:space="preserve">Cause réelle</w:t>
            </w:r>
          </w:p>
        </w:tc>
      </w:tr>
      <w:tr>
        <w:tc>
          <w:tcPr>
            <w:tcW w:type="dxa" w:w="2600"/>
          </w:tcPr>
          <w:p>
            <w:r>
              <w:rPr>
                <w:b w:val="false"/>
                <w:bCs w:val="false"/>
              </w:rPr>
              <w:t xml:space="preserve">Bug d'adaptateur (pas le modèle)</w:t>
            </w:r>
          </w:p>
        </w:tc>
        <w:tc>
          <w:tcPr>
            <w:tcW w:type="dxa" w:w="2200"/>
          </w:tcPr>
          <w:p>
            <w:r>
              <w:rPr>
                <w:b w:val="false"/>
                <w:bCs w:val="false"/>
              </w:rPr>
              <w:t xml:space="preserve">Llama 3.1 / G</w:t>
            </w:r>
          </w:p>
        </w:tc>
        <w:tc>
          <w:tcPr>
            <w:tcW w:type="dxa" w:w="4550"/>
          </w:tcPr>
          <w:p>
            <w:r>
              <w:rPr>
                <w:b w:val="false"/>
                <w:bCs w:val="false"/>
              </w:rPr>
              <w:t xml:space="preserve">Le Générateur a correctement jugé "preuves insuffisantes" — l'adaptateur ne sait pas gérer ce cas</w:t>
            </w:r>
          </w:p>
        </w:tc>
      </w:tr>
      <w:tr>
        <w:tc>
          <w:tcPr>
            <w:tcW w:type="dxa" w:w="2600"/>
          </w:tcPr>
          <w:p>
            <w:r>
              <w:rPr>
                <w:b w:val="false"/>
                <w:bCs w:val="false"/>
              </w:rPr>
              <w:t xml:space="preserve">Bug d'adaptateur (pas le modèle)</w:t>
            </w:r>
          </w:p>
        </w:tc>
        <w:tc>
          <w:tcPr>
            <w:tcW w:type="dxa" w:w="2200"/>
          </w:tcPr>
          <w:p>
            <w:r>
              <w:rPr>
                <w:b w:val="false"/>
                <w:bCs w:val="false"/>
              </w:rPr>
              <w:t xml:space="preserve">Qwen 2.5 / B</w:t>
            </w:r>
          </w:p>
        </w:tc>
        <w:tc>
          <w:tcPr>
            <w:tcW w:type="dxa" w:w="4550"/>
          </w:tcPr>
          <w:p>
            <w:r>
              <w:rPr>
                <w:b w:val="false"/>
                <w:bCs w:val="false"/>
              </w:rPr>
              <w:t xml:space="preserve">Même bug d'adaptateur, scénario différent</w:t>
            </w:r>
          </w:p>
        </w:tc>
      </w:tr>
      <w:tr>
        <w:tc>
          <w:tcPr>
            <w:tcW w:type="dxa" w:w="2600"/>
          </w:tcPr>
          <w:p>
            <w:r>
              <w:rPr>
                <w:b w:val="false"/>
                <w:bCs w:val="false"/>
              </w:rPr>
              <w:t xml:space="preserve">Violation réelle du contrat</w:t>
            </w:r>
          </w:p>
        </w:tc>
        <w:tc>
          <w:tcPr>
            <w:tcW w:type="dxa" w:w="2200"/>
          </w:tcPr>
          <w:p>
            <w:r>
              <w:rPr>
                <w:b w:val="false"/>
                <w:bCs w:val="false"/>
              </w:rPr>
              <w:t xml:space="preserve">Foundation-Sec / ML2</w:t>
            </w:r>
          </w:p>
        </w:tc>
        <w:tc>
          <w:tcPr>
            <w:tcW w:type="dxa" w:w="4550"/>
          </w:tcPr>
          <w:p>
            <w:r>
              <w:rPr>
                <w:b w:val="false"/>
                <w:bCs w:val="false"/>
              </w:rPr>
              <w:t xml:space="preserve">A cité 'RB-ERP-001', absent du contexte récupéré</w:t>
            </w:r>
          </w:p>
        </w:tc>
      </w:tr>
      <w:tr>
        <w:tc>
          <w:tcPr>
            <w:tcW w:type="dxa" w:w="2600"/>
          </w:tcPr>
          <w:p>
            <w:r>
              <w:rPr>
                <w:b w:val="false"/>
                <w:bCs w:val="false"/>
              </w:rPr>
              <w:t xml:space="preserve">Violation réelle du contrat (double)</w:t>
            </w:r>
          </w:p>
        </w:tc>
        <w:tc>
          <w:tcPr>
            <w:tcW w:type="dxa" w:w="2200"/>
          </w:tcPr>
          <w:p>
            <w:r>
              <w:rPr>
                <w:b w:val="false"/>
                <w:bCs w:val="false"/>
              </w:rPr>
              <w:t xml:space="preserve">Foundation-Sec / ML4</w:t>
            </w:r>
          </w:p>
        </w:tc>
        <w:tc>
          <w:tcPr>
            <w:tcW w:type="dxa" w:w="4550"/>
          </w:tcPr>
          <w:p>
            <w:r>
              <w:rPr>
                <w:b w:val="false"/>
                <w:bCs w:val="false"/>
              </w:rPr>
              <w:t xml:space="preserve">A d'abord conclu une remédiation sur preuve ticket seule (sans vérification technique) — puis, après réparation, a cité 'RB-ERP-001' hors contexte</w:t>
            </w:r>
          </w:p>
        </w:tc>
      </w:tr>
      <w:tr>
        <w:tc>
          <w:tcPr>
            <w:tcW w:type="dxa" w:w="2600"/>
          </w:tcPr>
          <w:p>
            <w:r>
              <w:rPr>
                <w:b w:val="false"/>
                <w:bCs w:val="false"/>
              </w:rPr>
              <w:t xml:space="preserve">Violation réelle du contrat</w:t>
            </w:r>
          </w:p>
        </w:tc>
        <w:tc>
          <w:tcPr>
            <w:tcW w:type="dxa" w:w="2200"/>
          </w:tcPr>
          <w:p>
            <w:r>
              <w:rPr>
                <w:b w:val="false"/>
                <w:bCs w:val="false"/>
              </w:rPr>
              <w:t xml:space="preserve">Qwen 2.5 / G</w:t>
            </w:r>
          </w:p>
        </w:tc>
        <w:tc>
          <w:tcPr>
            <w:tcW w:type="dxa" w:w="4550"/>
          </w:tcPr>
          <w:p>
            <w:r>
              <w:rPr>
                <w:b w:val="false"/>
                <w:bCs w:val="false"/>
              </w:rPr>
              <w:t xml:space="preserve">A cité 'CVE-2026-12345', absent du contexte récupéré — deux fois, même après réparation</w:t>
            </w:r>
          </w:p>
        </w:tc>
      </w:tr>
    </w:tbl>
    <w:p/>
    <w:p>
      <w:pPr>
        <w:spacing w:after="80"/>
      </w:pPr>
      <w:r>
        <w:rPr>
          <w:b/>
          <w:bCs/>
        </w:rPr>
        <w:t xml:space="preserve">Bilan corrigé des violations réelles du contrat Générateur (sur 13 scénarios) : </w:t>
      </w:r>
      <w:r>
        <w:t xml:space="preserve">Llama 3.1 : 0 — Qwen 2.5 : 1 — Foundation-Sec : 2</w:t>
      </w:r>
    </w:p>
    <w:p>
      <w:pPr>
        <w:spacing w:after="120"/>
      </w:pPr>
      <w:r>
        <w:t xml:space="preserve">Le modèle spécialisé sécurité n'est donc pas celui qui respecte le mieux le contrat de citation sur cet échantillon précis — un résultat contre-intuitif qui mérite d'être creusé sur un échantillon plus large avant toute conclusion générale.</w:t>
      </w:r>
    </w:p>
    <w:p>
      <w:r>
        <w:br w:type="page"/>
      </w:r>
    </w:p>
    <w:p>
      <w:pPr>
        <w:pStyle w:val="Heading1"/>
        <w:spacing w:before="300"/>
      </w:pPr>
      <w:r>
        <w:t xml:space="preserve">Détail des citations produites par scénario</w:t>
      </w:r>
    </w:p>
    <w:p>
      <w:pPr>
        <w:spacing w:after="120"/>
      </w:pPr>
      <w:r>
        <w:t xml:space="preserve">evidence_ids et reference_ids tels que produits par chaque modèle. Aucune contamination croisée détectée (un identifiant CVE/MITRE/runbook n'est jamais apparu dans evidence_ids, et réciproquement) sur l'ensemble des 39 exécutions (13 scénarios × 3 modèles).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2200"/>
        <w:gridCol w:w="1200"/>
        <w:gridCol w:w="1450"/>
      </w:tblGrid>
      <w:tr>
        <w:tc>
          <w:tcPr>
            <w:tcW w:type="dxa" w:w="700"/>
            <w:shd w:fill="D6DBDF" w:val="clear"/>
          </w:tcPr>
          <w:p>
            <w:r>
              <w:rPr>
                <w:b/>
                <w:bCs/>
              </w:rPr>
              <w:t xml:space="preserve">ID</w:t>
            </w:r>
          </w:p>
        </w:tc>
        <w:tc>
          <w:tcPr>
            <w:tcW w:type="dxa" w:w="1600"/>
            <w:shd w:fill="D6DBDF" w:val="clear"/>
          </w:tcPr>
          <w:p>
            <w:r>
              <w:rPr>
                <w:b/>
                <w:bCs/>
              </w:rPr>
              <w:t xml:space="preserve">Modèle</w:t>
            </w:r>
          </w:p>
        </w:tc>
        <w:tc>
          <w:tcPr>
            <w:tcW w:type="dxa" w:w="2200"/>
            <w:shd w:fill="D6DBDF" w:val="clear"/>
          </w:tcPr>
          <w:p>
            <w:r>
              <w:rPr>
                <w:b/>
                <w:bCs/>
              </w:rPr>
              <w:t xml:space="preserve">evidence_ids</w:t>
            </w:r>
          </w:p>
        </w:tc>
        <w:tc>
          <w:tcPr>
            <w:tcW w:type="dxa" w:w="2200"/>
            <w:shd w:fill="D6DBDF" w:val="clear"/>
          </w:tcPr>
          <w:p>
            <w:r>
              <w:rPr>
                <w:b/>
                <w:bCs/>
              </w:rPr>
              <w:t xml:space="preserve">reference_ids</w:t>
            </w:r>
          </w:p>
        </w:tc>
        <w:tc>
          <w:tcPr>
            <w:tcW w:type="dxa" w:w="1200"/>
            <w:shd w:fill="D6DBDF" w:val="clear"/>
          </w:tcPr>
          <w:p>
            <w:r>
              <w:rPr>
                <w:b/>
                <w:bCs/>
              </w:rPr>
              <w:t xml:space="preserve">Confiance</w:t>
            </w:r>
          </w:p>
        </w:tc>
        <w:tc>
          <w:tcPr>
            <w:tcW w:type="dxa" w:w="1450"/>
            <w:shd w:fill="D6DBDF" w:val="clear"/>
          </w:tcPr>
          <w:p>
            <w:r>
              <w:rPr>
                <w:b/>
                <w:bCs/>
              </w:rPr>
              <w:t xml:space="preserve">Statut contrat</w:t>
            </w:r>
          </w:p>
        </w:tc>
      </w:tr>
      <w:tr>
        <w:tc>
          <w:tcPr>
            <w:tcW w:type="dxa" w:w="700"/>
          </w:tcPr>
          <w:p>
            <w:r>
              <w:rPr>
                <w:b w:val="false"/>
                <w:bCs w:val="false"/>
              </w:rPr>
              <w:t xml:space="preserve">A</w:t>
            </w:r>
          </w:p>
        </w:tc>
        <w:tc>
          <w:tcPr>
            <w:tcW w:type="dxa" w:w="1600"/>
          </w:tcPr>
          <w:p>
            <w:r>
              <w:rPr>
                <w:b w:val="false"/>
                <w:bCs w:val="false"/>
              </w:rPr>
              <w:t xml:space="preserve">Foundation-Sec</w:t>
            </w:r>
          </w:p>
        </w:tc>
        <w:tc>
          <w:tcPr>
            <w:tcW w:type="dxa" w:w="2200"/>
          </w:tcPr>
          <w:p>
            <w:r>
              <w:rPr>
                <w:b w:val="false"/>
                <w:bCs w:val="false"/>
              </w:rPr>
              <w:t xml:space="preserve">EVD-0001, EVD-0002</w:t>
            </w:r>
          </w:p>
        </w:tc>
        <w:tc>
          <w:tcPr>
            <w:tcW w:type="dxa" w:w="2200"/>
          </w:tcPr>
          <w:p>
            <w:r>
              <w:rPr>
                <w:b w:val="false"/>
                <w:bCs w:val="false"/>
              </w:rPr>
              <w:t xml:space="preserve">CVE-2026-12345</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A</w:t>
            </w:r>
          </w:p>
        </w:tc>
        <w:tc>
          <w:tcPr>
            <w:tcW w:type="dxa" w:w="1600"/>
          </w:tcPr>
          <w:p>
            <w:r>
              <w:rPr>
                <w:b w:val="false"/>
                <w:bCs w:val="false"/>
              </w:rPr>
              <w:t xml:space="preserve">Llama 3.1</w:t>
            </w:r>
          </w:p>
        </w:tc>
        <w:tc>
          <w:tcPr>
            <w:tcW w:type="dxa" w:w="2200"/>
          </w:tcPr>
          <w:p>
            <w:r>
              <w:rPr>
                <w:b w:val="false"/>
                <w:bCs w:val="false"/>
              </w:rPr>
              <w:t xml:space="preserve">EVD-0001, EVD-0002</w:t>
            </w:r>
          </w:p>
        </w:tc>
        <w:tc>
          <w:tcPr>
            <w:tcW w:type="dxa" w:w="2200"/>
          </w:tcPr>
          <w:p>
            <w:r>
              <w:rPr>
                <w:b w:val="false"/>
                <w:bCs w:val="false"/>
              </w:rPr>
              <w:t xml:space="preserve">CVE-2026-12345</w:t>
            </w:r>
          </w:p>
        </w:tc>
        <w:tc>
          <w:tcPr>
            <w:tcW w:type="dxa" w:w="1200"/>
          </w:tcPr>
          <w:p>
            <w:r>
              <w:rPr>
                <w:b w:val="false"/>
                <w:bCs w:val="false"/>
              </w:rPr>
              <w:t xml:space="preserve">0.95</w:t>
            </w:r>
          </w:p>
        </w:tc>
        <w:tc>
          <w:tcPr>
            <w:tcW w:type="dxa" w:w="1450"/>
          </w:tcPr>
          <w:p>
            <w:r>
              <w:rPr>
                <w:b w:val="false"/>
                <w:bCs w:val="false"/>
              </w:rPr>
              <w:t xml:space="preserve">OK</w:t>
            </w:r>
          </w:p>
        </w:tc>
      </w:tr>
      <w:tr>
        <w:tc>
          <w:tcPr>
            <w:tcW w:type="dxa" w:w="700"/>
          </w:tcPr>
          <w:p>
            <w:r>
              <w:rPr>
                <w:b w:val="false"/>
                <w:bCs w:val="false"/>
              </w:rPr>
              <w:t xml:space="preserve">A</w:t>
            </w:r>
          </w:p>
        </w:tc>
        <w:tc>
          <w:tcPr>
            <w:tcW w:type="dxa" w:w="1600"/>
          </w:tcPr>
          <w:p>
            <w:r>
              <w:rPr>
                <w:b w:val="false"/>
                <w:bCs w:val="false"/>
              </w:rPr>
              <w:t xml:space="preserve">Qwen 2.5</w:t>
            </w:r>
          </w:p>
        </w:tc>
        <w:tc>
          <w:tcPr>
            <w:tcW w:type="dxa" w:w="2200"/>
          </w:tcPr>
          <w:p>
            <w:r>
              <w:rPr>
                <w:b w:val="false"/>
                <w:bCs w:val="false"/>
              </w:rPr>
              <w:t xml:space="preserve">EVD-0001, EVD-0002</w:t>
            </w:r>
          </w:p>
        </w:tc>
        <w:tc>
          <w:tcPr>
            <w:tcW w:type="dxa" w:w="2200"/>
          </w:tcPr>
          <w:p>
            <w:r>
              <w:rPr>
                <w:b w:val="false"/>
                <w:bCs w:val="false"/>
              </w:rPr>
              <w:t xml:space="preserve">CVE-2026-12345</w:t>
            </w:r>
          </w:p>
        </w:tc>
        <w:tc>
          <w:tcPr>
            <w:tcW w:type="dxa" w:w="1200"/>
          </w:tcPr>
          <w:p>
            <w:r>
              <w:rPr>
                <w:b w:val="false"/>
                <w:bCs w:val="false"/>
              </w:rPr>
              <w:t xml:space="preserve">0.98</w:t>
            </w:r>
          </w:p>
        </w:tc>
        <w:tc>
          <w:tcPr>
            <w:tcW w:type="dxa" w:w="1450"/>
          </w:tcPr>
          <w:p>
            <w:r>
              <w:rPr>
                <w:b w:val="false"/>
                <w:bCs w:val="false"/>
              </w:rPr>
              <w:t xml:space="preserve">OK</w:t>
            </w:r>
          </w:p>
        </w:tc>
      </w:tr>
      <w:tr>
        <w:tc>
          <w:tcPr>
            <w:tcW w:type="dxa" w:w="700"/>
          </w:tcPr>
          <w:p>
            <w:r>
              <w:rPr>
                <w:b w:val="false"/>
                <w:bCs w:val="false"/>
              </w:rPr>
              <w:t xml:space="preserve">B</w:t>
            </w:r>
          </w:p>
        </w:tc>
        <w:tc>
          <w:tcPr>
            <w:tcW w:type="dxa" w:w="1600"/>
          </w:tcPr>
          <w:p>
            <w:r>
              <w:rPr>
                <w:b w:val="false"/>
                <w:bCs w:val="false"/>
              </w:rPr>
              <w:t xml:space="preserve">Qwen 2.5</w:t>
            </w:r>
          </w:p>
        </w:tc>
        <w:tc>
          <w:tcPr>
            <w:tcW w:type="dxa" w:w="2200"/>
          </w:tcPr>
          <w:p>
            <w:r>
              <w:rPr>
                <w:b w:val="false"/>
                <w:bCs w:val="false"/>
              </w:rPr>
              <w:t xml:space="preserve">—</w:t>
            </w:r>
          </w:p>
        </w:tc>
        <w:tc>
          <w:tcPr>
            <w:tcW w:type="dxa" w:w="2200"/>
          </w:tcPr>
          <w:p>
            <w:r>
              <w:rPr>
                <w:b w:val="false"/>
                <w:bCs w:val="false"/>
              </w:rPr>
              <w:t xml:space="preserve">—</w:t>
            </w:r>
          </w:p>
        </w:tc>
        <w:tc>
          <w:tcPr>
            <w:tcW w:type="dxa" w:w="1200"/>
          </w:tcPr>
          <w:p>
            <w:r>
              <w:rPr>
                <w:b w:val="false"/>
                <w:bCs w:val="false"/>
              </w:rPr>
              <w:t xml:space="preserve">—</w:t>
            </w:r>
          </w:p>
        </w:tc>
        <w:tc>
          <w:tcPr>
            <w:tcW w:type="dxa" w:w="1450"/>
          </w:tcPr>
          <w:p>
            <w:r>
              <w:rPr>
                <w:b w:val="false"/>
                <w:bCs w:val="false"/>
              </w:rPr>
              <w:t xml:space="preserve">bug adaptateur</w:t>
            </w:r>
          </w:p>
        </w:tc>
      </w:tr>
      <w:tr>
        <w:tc>
          <w:tcPr>
            <w:tcW w:type="dxa" w:w="700"/>
          </w:tcPr>
          <w:p>
            <w:r>
              <w:rPr>
                <w:b w:val="false"/>
                <w:bCs w:val="false"/>
              </w:rPr>
              <w:t xml:space="preserve">F</w:t>
            </w:r>
          </w:p>
        </w:tc>
        <w:tc>
          <w:tcPr>
            <w:tcW w:type="dxa" w:w="1600"/>
          </w:tcPr>
          <w:p>
            <w:r>
              <w:rPr>
                <w:b w:val="false"/>
                <w:bCs w:val="false"/>
              </w:rPr>
              <w:t xml:space="preserve">Llama 3.1</w:t>
            </w:r>
          </w:p>
        </w:tc>
        <w:tc>
          <w:tcPr>
            <w:tcW w:type="dxa" w:w="2200"/>
          </w:tcPr>
          <w:p>
            <w:r>
              <w:rPr>
                <w:b w:val="false"/>
                <w:bCs w:val="false"/>
              </w:rPr>
              <w:t xml:space="preserve">EVD-0001, EVD-0002</w:t>
            </w:r>
          </w:p>
        </w:tc>
        <w:tc>
          <w:tcPr>
            <w:tcW w:type="dxa" w:w="2200"/>
          </w:tcPr>
          <w:p>
            <w:r>
              <w:rPr>
                <w:b w:val="false"/>
                <w:bCs w:val="false"/>
              </w:rPr>
              <w:t xml:space="preserve">CVE-2026-12345</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F</w:t>
            </w:r>
          </w:p>
        </w:tc>
        <w:tc>
          <w:tcPr>
            <w:tcW w:type="dxa" w:w="1600"/>
          </w:tcPr>
          <w:p>
            <w:r>
              <w:rPr>
                <w:b w:val="false"/>
                <w:bCs w:val="false"/>
              </w:rPr>
              <w:t xml:space="preserve">Qwen 2.5</w:t>
            </w:r>
          </w:p>
        </w:tc>
        <w:tc>
          <w:tcPr>
            <w:tcW w:type="dxa" w:w="2200"/>
          </w:tcPr>
          <w:p>
            <w:r>
              <w:rPr>
                <w:b w:val="false"/>
                <w:bCs w:val="false"/>
              </w:rPr>
              <w:t xml:space="preserve">EVD-0001, EVD-0002</w:t>
            </w:r>
          </w:p>
        </w:tc>
        <w:tc>
          <w:tcPr>
            <w:tcW w:type="dxa" w:w="2200"/>
          </w:tcPr>
          <w:p>
            <w:r>
              <w:rPr>
                <w:b w:val="false"/>
                <w:bCs w:val="false"/>
              </w:rPr>
              <w:t xml:space="preserve">CVE-2026-12345</w:t>
            </w:r>
          </w:p>
        </w:tc>
        <w:tc>
          <w:tcPr>
            <w:tcW w:type="dxa" w:w="1200"/>
          </w:tcPr>
          <w:p>
            <w:r>
              <w:rPr>
                <w:b w:val="false"/>
                <w:bCs w:val="false"/>
              </w:rPr>
              <w:t xml:space="preserve">0.98</w:t>
            </w:r>
          </w:p>
        </w:tc>
        <w:tc>
          <w:tcPr>
            <w:tcW w:type="dxa" w:w="1450"/>
          </w:tcPr>
          <w:p>
            <w:r>
              <w:rPr>
                <w:b w:val="false"/>
                <w:bCs w:val="false"/>
              </w:rPr>
              <w:t xml:space="preserve">OK</w:t>
            </w:r>
          </w:p>
        </w:tc>
      </w:tr>
      <w:tr>
        <w:tc>
          <w:tcPr>
            <w:tcW w:type="dxa" w:w="700"/>
          </w:tcPr>
          <w:p>
            <w:r>
              <w:rPr>
                <w:b w:val="false"/>
                <w:bCs w:val="false"/>
              </w:rPr>
              <w:t xml:space="preserve">G</w:t>
            </w:r>
          </w:p>
        </w:tc>
        <w:tc>
          <w:tcPr>
            <w:tcW w:type="dxa" w:w="1600"/>
          </w:tcPr>
          <w:p>
            <w:r>
              <w:rPr>
                <w:b w:val="false"/>
                <w:bCs w:val="false"/>
              </w:rPr>
              <w:t xml:space="preserve">Llama 3.1</w:t>
            </w:r>
          </w:p>
        </w:tc>
        <w:tc>
          <w:tcPr>
            <w:tcW w:type="dxa" w:w="2200"/>
          </w:tcPr>
          <w:p>
            <w:r>
              <w:rPr>
                <w:b w:val="false"/>
                <w:bCs w:val="false"/>
              </w:rPr>
              <w:t xml:space="preserve">—</w:t>
            </w:r>
          </w:p>
        </w:tc>
        <w:tc>
          <w:tcPr>
            <w:tcW w:type="dxa" w:w="2200"/>
          </w:tcPr>
          <w:p>
            <w:r>
              <w:rPr>
                <w:b w:val="false"/>
                <w:bCs w:val="false"/>
              </w:rPr>
              <w:t xml:space="preserve">—</w:t>
            </w:r>
          </w:p>
        </w:tc>
        <w:tc>
          <w:tcPr>
            <w:tcW w:type="dxa" w:w="1200"/>
          </w:tcPr>
          <w:p>
            <w:r>
              <w:rPr>
                <w:b w:val="false"/>
                <w:bCs w:val="false"/>
              </w:rPr>
              <w:t xml:space="preserve">—</w:t>
            </w:r>
          </w:p>
        </w:tc>
        <w:tc>
          <w:tcPr>
            <w:tcW w:type="dxa" w:w="1450"/>
          </w:tcPr>
          <w:p>
            <w:r>
              <w:rPr>
                <w:b w:val="false"/>
                <w:bCs w:val="false"/>
              </w:rPr>
              <w:t xml:space="preserve">bug adaptateur</w:t>
            </w:r>
          </w:p>
        </w:tc>
      </w:tr>
      <w:tr>
        <w:tc>
          <w:tcPr>
            <w:tcW w:type="dxa" w:w="700"/>
          </w:tcPr>
          <w:p>
            <w:r>
              <w:rPr>
                <w:b w:val="false"/>
                <w:bCs w:val="false"/>
              </w:rPr>
              <w:t xml:space="preserve">G</w:t>
            </w:r>
          </w:p>
        </w:tc>
        <w:tc>
          <w:tcPr>
            <w:tcW w:type="dxa" w:w="1600"/>
          </w:tcPr>
          <w:p>
            <w:r>
              <w:rPr>
                <w:b w:val="false"/>
                <w:bCs w:val="false"/>
              </w:rPr>
              <w:t xml:space="preserve">Qwen 2.5</w:t>
            </w:r>
          </w:p>
        </w:tc>
        <w:tc>
          <w:tcPr>
            <w:tcW w:type="dxa" w:w="2200"/>
          </w:tcPr>
          <w:p>
            <w:r>
              <w:rPr>
                <w:b w:val="false"/>
                <w:bCs w:val="false"/>
              </w:rPr>
              <w:t xml:space="preserve">—</w:t>
            </w:r>
          </w:p>
        </w:tc>
        <w:tc>
          <w:tcPr>
            <w:tcW w:type="dxa" w:w="2200"/>
          </w:tcPr>
          <w:p>
            <w:r>
              <w:rPr>
                <w:b w:val="false"/>
                <w:bCs w:val="false"/>
              </w:rPr>
              <w:t xml:space="preserve">—</w:t>
            </w:r>
          </w:p>
        </w:tc>
        <w:tc>
          <w:tcPr>
            <w:tcW w:type="dxa" w:w="1200"/>
          </w:tcPr>
          <w:p>
            <w:r>
              <w:rPr>
                <w:b w:val="false"/>
                <w:bCs w:val="false"/>
              </w:rPr>
              <w:t xml:space="preserve">—</w:t>
            </w:r>
          </w:p>
        </w:tc>
        <w:tc>
          <w:tcPr>
            <w:tcW w:type="dxa" w:w="1450"/>
          </w:tcPr>
          <w:p>
            <w:r>
              <w:rPr>
                <w:b w:val="false"/>
                <w:bCs w:val="false"/>
              </w:rPr>
              <w:t xml:space="preserve">VIOLATION</w:t>
            </w:r>
          </w:p>
        </w:tc>
      </w:tr>
      <w:tr>
        <w:tc>
          <w:tcPr>
            <w:tcW w:type="dxa" w:w="700"/>
          </w:tcPr>
          <w:p>
            <w:r>
              <w:rPr>
                <w:b w:val="false"/>
                <w:bCs w:val="false"/>
              </w:rPr>
              <w:t xml:space="preserve">I</w:t>
            </w:r>
          </w:p>
        </w:tc>
        <w:tc>
          <w:tcPr>
            <w:tcW w:type="dxa" w:w="1600"/>
          </w:tcPr>
          <w:p>
            <w:r>
              <w:rPr>
                <w:b w:val="false"/>
                <w:bCs w:val="false"/>
              </w:rPr>
              <w:t xml:space="preserve">Foundation-Sec</w:t>
            </w:r>
          </w:p>
        </w:tc>
        <w:tc>
          <w:tcPr>
            <w:tcW w:type="dxa" w:w="2200"/>
          </w:tcPr>
          <w:p>
            <w:r>
              <w:rPr>
                <w:b w:val="false"/>
                <w:bCs w:val="false"/>
              </w:rPr>
              <w:t xml:space="preserve">EVD-0009</w:t>
            </w:r>
          </w:p>
        </w:tc>
        <w:tc>
          <w:tcPr>
            <w:tcW w:type="dxa" w:w="2200"/>
          </w:tcPr>
          <w:p>
            <w:r>
              <w:rPr>
                <w:b w:val="false"/>
                <w:bCs w:val="false"/>
              </w:rPr>
              <w:t xml:space="preserve">RB-ERP-001#chunk-0</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I</w:t>
            </w:r>
          </w:p>
        </w:tc>
        <w:tc>
          <w:tcPr>
            <w:tcW w:type="dxa" w:w="1600"/>
          </w:tcPr>
          <w:p>
            <w:r>
              <w:rPr>
                <w:b w:val="false"/>
                <w:bCs w:val="false"/>
              </w:rPr>
              <w:t xml:space="preserve">Llama 3.1</w:t>
            </w:r>
          </w:p>
        </w:tc>
        <w:tc>
          <w:tcPr>
            <w:tcW w:type="dxa" w:w="2200"/>
          </w:tcPr>
          <w:p>
            <w:r>
              <w:rPr>
                <w:b w:val="false"/>
                <w:bCs w:val="false"/>
              </w:rPr>
              <w:t xml:space="preserve">EVD-0009</w:t>
            </w:r>
          </w:p>
        </w:tc>
        <w:tc>
          <w:tcPr>
            <w:tcW w:type="dxa" w:w="2200"/>
          </w:tcPr>
          <w:p>
            <w:r>
              <w:rPr>
                <w:b w:val="false"/>
                <w:bCs w:val="false"/>
              </w:rPr>
              <w:t xml:space="preserve">RB-ERP-001#chunk-0</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I</w:t>
            </w:r>
          </w:p>
        </w:tc>
        <w:tc>
          <w:tcPr>
            <w:tcW w:type="dxa" w:w="1600"/>
          </w:tcPr>
          <w:p>
            <w:r>
              <w:rPr>
                <w:b w:val="false"/>
                <w:bCs w:val="false"/>
              </w:rPr>
              <w:t xml:space="preserve">Qwen 2.5</w:t>
            </w:r>
          </w:p>
        </w:tc>
        <w:tc>
          <w:tcPr>
            <w:tcW w:type="dxa" w:w="2200"/>
          </w:tcPr>
          <w:p>
            <w:r>
              <w:rPr>
                <w:b w:val="false"/>
                <w:bCs w:val="false"/>
              </w:rPr>
              <w:t xml:space="preserve">EVD-0009</w:t>
            </w:r>
          </w:p>
        </w:tc>
        <w:tc>
          <w:tcPr>
            <w:tcW w:type="dxa" w:w="2200"/>
          </w:tcPr>
          <w:p>
            <w:r>
              <w:rPr>
                <w:b w:val="false"/>
                <w:bCs w:val="false"/>
              </w:rPr>
              <w:t xml:space="preserve">(aucun)</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ML1</w:t>
            </w:r>
          </w:p>
        </w:tc>
        <w:tc>
          <w:tcPr>
            <w:tcW w:type="dxa" w:w="1600"/>
          </w:tcPr>
          <w:p>
            <w:r>
              <w:rPr>
                <w:b w:val="false"/>
                <w:bCs w:val="false"/>
              </w:rPr>
              <w:t xml:space="preserve">Foundation-Sec</w:t>
            </w:r>
          </w:p>
        </w:tc>
        <w:tc>
          <w:tcPr>
            <w:tcW w:type="dxa" w:w="2200"/>
          </w:tcPr>
          <w:p>
            <w:r>
              <w:rPr>
                <w:b w:val="false"/>
                <w:bCs w:val="false"/>
              </w:rPr>
              <w:t xml:space="preserve">EVD-0010, EVD-0011</w:t>
            </w:r>
          </w:p>
        </w:tc>
        <w:tc>
          <w:tcPr>
            <w:tcW w:type="dxa" w:w="2200"/>
          </w:tcPr>
          <w:p>
            <w:r>
              <w:rPr>
                <w:b w:val="false"/>
                <w:bCs w:val="false"/>
              </w:rPr>
              <w:t xml:space="preserve">RB-ERP-001#chunk-0</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ML1</w:t>
            </w:r>
          </w:p>
        </w:tc>
        <w:tc>
          <w:tcPr>
            <w:tcW w:type="dxa" w:w="1600"/>
          </w:tcPr>
          <w:p>
            <w:r>
              <w:rPr>
                <w:b w:val="false"/>
                <w:bCs w:val="false"/>
              </w:rPr>
              <w:t xml:space="preserve">Llama 3.1</w:t>
            </w:r>
          </w:p>
        </w:tc>
        <w:tc>
          <w:tcPr>
            <w:tcW w:type="dxa" w:w="2200"/>
          </w:tcPr>
          <w:p>
            <w:r>
              <w:rPr>
                <w:b w:val="false"/>
                <w:bCs w:val="false"/>
              </w:rPr>
              <w:t xml:space="preserve">EVD-0010, EVD-0011</w:t>
            </w:r>
          </w:p>
        </w:tc>
        <w:tc>
          <w:tcPr>
            <w:tcW w:type="dxa" w:w="2200"/>
          </w:tcPr>
          <w:p>
            <w:r>
              <w:rPr>
                <w:b w:val="false"/>
                <w:bCs w:val="false"/>
              </w:rPr>
              <w:t xml:space="preserve">(aucun)</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ML1</w:t>
            </w:r>
          </w:p>
        </w:tc>
        <w:tc>
          <w:tcPr>
            <w:tcW w:type="dxa" w:w="1600"/>
          </w:tcPr>
          <w:p>
            <w:r>
              <w:rPr>
                <w:b w:val="false"/>
                <w:bCs w:val="false"/>
              </w:rPr>
              <w:t xml:space="preserve">Qwen 2.5</w:t>
            </w:r>
          </w:p>
        </w:tc>
        <w:tc>
          <w:tcPr>
            <w:tcW w:type="dxa" w:w="2200"/>
          </w:tcPr>
          <w:p>
            <w:r>
              <w:rPr>
                <w:b w:val="false"/>
                <w:bCs w:val="false"/>
              </w:rPr>
              <w:t xml:space="preserve">EVD-0010, EVD-0011</w:t>
            </w:r>
          </w:p>
        </w:tc>
        <w:tc>
          <w:tcPr>
            <w:tcW w:type="dxa" w:w="2200"/>
          </w:tcPr>
          <w:p>
            <w:r>
              <w:rPr>
                <w:b w:val="false"/>
                <w:bCs w:val="false"/>
              </w:rPr>
              <w:t xml:space="preserve">RB-ERP-001#chunk-0</w:t>
            </w:r>
          </w:p>
        </w:tc>
        <w:tc>
          <w:tcPr>
            <w:tcW w:type="dxa" w:w="1200"/>
          </w:tcPr>
          <w:p>
            <w:r>
              <w:rPr>
                <w:b w:val="false"/>
                <w:bCs w:val="false"/>
              </w:rPr>
              <w:t xml:space="preserve">0.95</w:t>
            </w:r>
          </w:p>
        </w:tc>
        <w:tc>
          <w:tcPr>
            <w:tcW w:type="dxa" w:w="1450"/>
          </w:tcPr>
          <w:p>
            <w:r>
              <w:rPr>
                <w:b w:val="false"/>
                <w:bCs w:val="false"/>
              </w:rPr>
              <w:t xml:space="preserve">OK</w:t>
            </w:r>
          </w:p>
        </w:tc>
      </w:tr>
      <w:tr>
        <w:tc>
          <w:tcPr>
            <w:tcW w:type="dxa" w:w="700"/>
          </w:tcPr>
          <w:p>
            <w:r>
              <w:rPr>
                <w:b w:val="false"/>
                <w:bCs w:val="false"/>
              </w:rPr>
              <w:t xml:space="preserve">ML2</w:t>
            </w:r>
          </w:p>
        </w:tc>
        <w:tc>
          <w:tcPr>
            <w:tcW w:type="dxa" w:w="1600"/>
          </w:tcPr>
          <w:p>
            <w:r>
              <w:rPr>
                <w:b w:val="false"/>
                <w:bCs w:val="false"/>
              </w:rPr>
              <w:t xml:space="preserve">Foundation-Sec</w:t>
            </w:r>
          </w:p>
        </w:tc>
        <w:tc>
          <w:tcPr>
            <w:tcW w:type="dxa" w:w="2200"/>
          </w:tcPr>
          <w:p>
            <w:r>
              <w:rPr>
                <w:b w:val="false"/>
                <w:bCs w:val="false"/>
              </w:rPr>
              <w:t xml:space="preserve">—</w:t>
            </w:r>
          </w:p>
        </w:tc>
        <w:tc>
          <w:tcPr>
            <w:tcW w:type="dxa" w:w="2200"/>
          </w:tcPr>
          <w:p>
            <w:r>
              <w:rPr>
                <w:b w:val="false"/>
                <w:bCs w:val="false"/>
              </w:rPr>
              <w:t xml:space="preserve">—</w:t>
            </w:r>
          </w:p>
        </w:tc>
        <w:tc>
          <w:tcPr>
            <w:tcW w:type="dxa" w:w="1200"/>
          </w:tcPr>
          <w:p>
            <w:r>
              <w:rPr>
                <w:b w:val="false"/>
                <w:bCs w:val="false"/>
              </w:rPr>
              <w:t xml:space="preserve">—</w:t>
            </w:r>
          </w:p>
        </w:tc>
        <w:tc>
          <w:tcPr>
            <w:tcW w:type="dxa" w:w="1450"/>
          </w:tcPr>
          <w:p>
            <w:r>
              <w:rPr>
                <w:b w:val="false"/>
                <w:bCs w:val="false"/>
              </w:rPr>
              <w:t xml:space="preserve">VIOLATION</w:t>
            </w:r>
          </w:p>
        </w:tc>
      </w:tr>
      <w:tr>
        <w:tc>
          <w:tcPr>
            <w:tcW w:type="dxa" w:w="700"/>
          </w:tcPr>
          <w:p>
            <w:r>
              <w:rPr>
                <w:b w:val="false"/>
                <w:bCs w:val="false"/>
              </w:rPr>
              <w:t xml:space="preserve">ML2</w:t>
            </w:r>
          </w:p>
        </w:tc>
        <w:tc>
          <w:tcPr>
            <w:tcW w:type="dxa" w:w="1600"/>
          </w:tcPr>
          <w:p>
            <w:r>
              <w:rPr>
                <w:b w:val="false"/>
                <w:bCs w:val="false"/>
              </w:rPr>
              <w:t xml:space="preserve">Llama 3.1</w:t>
            </w:r>
          </w:p>
        </w:tc>
        <w:tc>
          <w:tcPr>
            <w:tcW w:type="dxa" w:w="2200"/>
          </w:tcPr>
          <w:p>
            <w:r>
              <w:rPr>
                <w:b w:val="false"/>
                <w:bCs w:val="false"/>
              </w:rPr>
              <w:t xml:space="preserve">EVD-0001, EVD-0002</w:t>
            </w:r>
          </w:p>
        </w:tc>
        <w:tc>
          <w:tcPr>
            <w:tcW w:type="dxa" w:w="2200"/>
          </w:tcPr>
          <w:p>
            <w:r>
              <w:rPr>
                <w:b w:val="false"/>
                <w:bCs w:val="false"/>
              </w:rPr>
              <w:t xml:space="preserve">CVE-2026-12345, RB-ERP-001#chunk-0</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ML2</w:t>
            </w:r>
          </w:p>
        </w:tc>
        <w:tc>
          <w:tcPr>
            <w:tcW w:type="dxa" w:w="1600"/>
          </w:tcPr>
          <w:p>
            <w:r>
              <w:rPr>
                <w:b w:val="false"/>
                <w:bCs w:val="false"/>
              </w:rPr>
              <w:t xml:space="preserve">Qwen 2.5</w:t>
            </w:r>
          </w:p>
        </w:tc>
        <w:tc>
          <w:tcPr>
            <w:tcW w:type="dxa" w:w="2200"/>
          </w:tcPr>
          <w:p>
            <w:r>
              <w:rPr>
                <w:b w:val="false"/>
                <w:bCs w:val="false"/>
              </w:rPr>
              <w:t xml:space="preserve">EVD-0001, EVD-0002</w:t>
            </w:r>
          </w:p>
        </w:tc>
        <w:tc>
          <w:tcPr>
            <w:tcW w:type="dxa" w:w="2200"/>
          </w:tcPr>
          <w:p>
            <w:r>
              <w:rPr>
                <w:b w:val="false"/>
                <w:bCs w:val="false"/>
              </w:rPr>
              <w:t xml:space="preserve">RB-ERP-001#chunk-0, CVE-2026-12345</w:t>
            </w:r>
          </w:p>
        </w:tc>
        <w:tc>
          <w:tcPr>
            <w:tcW w:type="dxa" w:w="1200"/>
          </w:tcPr>
          <w:p>
            <w:r>
              <w:rPr>
                <w:b w:val="false"/>
                <w:bCs w:val="false"/>
              </w:rPr>
              <w:t xml:space="preserve">0.95</w:t>
            </w:r>
          </w:p>
        </w:tc>
        <w:tc>
          <w:tcPr>
            <w:tcW w:type="dxa" w:w="1450"/>
          </w:tcPr>
          <w:p>
            <w:r>
              <w:rPr>
                <w:b w:val="false"/>
                <w:bCs w:val="false"/>
              </w:rPr>
              <w:t xml:space="preserve">OK</w:t>
            </w:r>
          </w:p>
        </w:tc>
      </w:tr>
      <w:tr>
        <w:tc>
          <w:tcPr>
            <w:tcW w:type="dxa" w:w="700"/>
          </w:tcPr>
          <w:p>
            <w:r>
              <w:rPr>
                <w:b w:val="false"/>
                <w:bCs w:val="false"/>
              </w:rPr>
              <w:t xml:space="preserve">ML3</w:t>
            </w:r>
          </w:p>
        </w:tc>
        <w:tc>
          <w:tcPr>
            <w:tcW w:type="dxa" w:w="1600"/>
          </w:tcPr>
          <w:p>
            <w:r>
              <w:rPr>
                <w:b w:val="false"/>
                <w:bCs w:val="false"/>
              </w:rPr>
              <w:t xml:space="preserve">Foundation-Sec</w:t>
            </w:r>
          </w:p>
        </w:tc>
        <w:tc>
          <w:tcPr>
            <w:tcW w:type="dxa" w:w="2200"/>
          </w:tcPr>
          <w:p>
            <w:r>
              <w:rPr>
                <w:b w:val="false"/>
                <w:bCs w:val="false"/>
              </w:rPr>
              <w:t xml:space="preserve">EVD-0010, EVD-0011</w:t>
            </w:r>
          </w:p>
        </w:tc>
        <w:tc>
          <w:tcPr>
            <w:tcW w:type="dxa" w:w="2200"/>
          </w:tcPr>
          <w:p>
            <w:r>
              <w:rPr>
                <w:b w:val="false"/>
                <w:bCs w:val="false"/>
              </w:rPr>
              <w:t xml:space="preserve">RB-ERP-001#chunk-0, CVE-2026-12345</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ML3</w:t>
            </w:r>
          </w:p>
        </w:tc>
        <w:tc>
          <w:tcPr>
            <w:tcW w:type="dxa" w:w="1600"/>
          </w:tcPr>
          <w:p>
            <w:r>
              <w:rPr>
                <w:b w:val="false"/>
                <w:bCs w:val="false"/>
              </w:rPr>
              <w:t xml:space="preserve">Llama 3.1</w:t>
            </w:r>
          </w:p>
        </w:tc>
        <w:tc>
          <w:tcPr>
            <w:tcW w:type="dxa" w:w="2200"/>
          </w:tcPr>
          <w:p>
            <w:r>
              <w:rPr>
                <w:b w:val="false"/>
                <w:bCs w:val="false"/>
              </w:rPr>
              <w:t xml:space="preserve">EVD-0010, EVD-0011</w:t>
            </w:r>
          </w:p>
        </w:tc>
        <w:tc>
          <w:tcPr>
            <w:tcW w:type="dxa" w:w="2200"/>
          </w:tcPr>
          <w:p>
            <w:r>
              <w:rPr>
                <w:b w:val="false"/>
                <w:bCs w:val="false"/>
              </w:rPr>
              <w:t xml:space="preserve">(aucun)</w:t>
            </w:r>
          </w:p>
        </w:tc>
        <w:tc>
          <w:tcPr>
            <w:tcW w:type="dxa" w:w="1200"/>
          </w:tcPr>
          <w:p>
            <w:r>
              <w:rPr>
                <w:b w:val="false"/>
                <w:bCs w:val="false"/>
              </w:rPr>
              <w:t xml:space="preserve">1</w:t>
            </w:r>
          </w:p>
        </w:tc>
        <w:tc>
          <w:tcPr>
            <w:tcW w:type="dxa" w:w="1450"/>
          </w:tcPr>
          <w:p>
            <w:r>
              <w:rPr>
                <w:b w:val="false"/>
                <w:bCs w:val="false"/>
              </w:rPr>
              <w:t xml:space="preserve">OK</w:t>
            </w:r>
          </w:p>
        </w:tc>
      </w:tr>
      <w:tr>
        <w:tc>
          <w:tcPr>
            <w:tcW w:type="dxa" w:w="700"/>
          </w:tcPr>
          <w:p>
            <w:r>
              <w:rPr>
                <w:b w:val="false"/>
                <w:bCs w:val="false"/>
              </w:rPr>
              <w:t xml:space="preserve">ML3</w:t>
            </w:r>
          </w:p>
        </w:tc>
        <w:tc>
          <w:tcPr>
            <w:tcW w:type="dxa" w:w="1600"/>
          </w:tcPr>
          <w:p>
            <w:r>
              <w:rPr>
                <w:b w:val="false"/>
                <w:bCs w:val="false"/>
              </w:rPr>
              <w:t xml:space="preserve">Qwen 2.5</w:t>
            </w:r>
          </w:p>
        </w:tc>
        <w:tc>
          <w:tcPr>
            <w:tcW w:type="dxa" w:w="2200"/>
          </w:tcPr>
          <w:p>
            <w:r>
              <w:rPr>
                <w:b w:val="false"/>
                <w:bCs w:val="false"/>
              </w:rPr>
              <w:t xml:space="preserve">EVD-0010, EVD-0011</w:t>
            </w:r>
          </w:p>
        </w:tc>
        <w:tc>
          <w:tcPr>
            <w:tcW w:type="dxa" w:w="2200"/>
          </w:tcPr>
          <w:p>
            <w:r>
              <w:rPr>
                <w:b w:val="false"/>
                <w:bCs w:val="false"/>
              </w:rPr>
              <w:t xml:space="preserve">(aucun)</w:t>
            </w:r>
          </w:p>
        </w:tc>
        <w:tc>
          <w:tcPr>
            <w:tcW w:type="dxa" w:w="1200"/>
          </w:tcPr>
          <w:p>
            <w:r>
              <w:rPr>
                <w:b w:val="false"/>
                <w:bCs w:val="false"/>
              </w:rPr>
              <w:t xml:space="preserve">0.95</w:t>
            </w:r>
          </w:p>
        </w:tc>
        <w:tc>
          <w:tcPr>
            <w:tcW w:type="dxa" w:w="1450"/>
          </w:tcPr>
          <w:p>
            <w:r>
              <w:rPr>
                <w:b w:val="false"/>
                <w:bCs w:val="false"/>
              </w:rPr>
              <w:t xml:space="preserve">OK</w:t>
            </w:r>
          </w:p>
        </w:tc>
      </w:tr>
      <w:tr>
        <w:tc>
          <w:tcPr>
            <w:tcW w:type="dxa" w:w="700"/>
          </w:tcPr>
          <w:p>
            <w:r>
              <w:rPr>
                <w:b w:val="false"/>
                <w:bCs w:val="false"/>
              </w:rPr>
              <w:t xml:space="preserve">ML4</w:t>
            </w:r>
          </w:p>
        </w:tc>
        <w:tc>
          <w:tcPr>
            <w:tcW w:type="dxa" w:w="1600"/>
          </w:tcPr>
          <w:p>
            <w:r>
              <w:rPr>
                <w:b w:val="false"/>
                <w:bCs w:val="false"/>
              </w:rPr>
              <w:t xml:space="preserve">Foundation-Sec</w:t>
            </w:r>
          </w:p>
        </w:tc>
        <w:tc>
          <w:tcPr>
            <w:tcW w:type="dxa" w:w="2200"/>
          </w:tcPr>
          <w:p>
            <w:r>
              <w:rPr>
                <w:b w:val="false"/>
                <w:bCs w:val="false"/>
              </w:rPr>
              <w:t xml:space="preserve">—</w:t>
            </w:r>
          </w:p>
        </w:tc>
        <w:tc>
          <w:tcPr>
            <w:tcW w:type="dxa" w:w="2200"/>
          </w:tcPr>
          <w:p>
            <w:r>
              <w:rPr>
                <w:b w:val="false"/>
                <w:bCs w:val="false"/>
              </w:rPr>
              <w:t xml:space="preserve">—</w:t>
            </w:r>
          </w:p>
        </w:tc>
        <w:tc>
          <w:tcPr>
            <w:tcW w:type="dxa" w:w="1200"/>
          </w:tcPr>
          <w:p>
            <w:r>
              <w:rPr>
                <w:b w:val="false"/>
                <w:bCs w:val="false"/>
              </w:rPr>
              <w:t xml:space="preserve">—</w:t>
            </w:r>
          </w:p>
        </w:tc>
        <w:tc>
          <w:tcPr>
            <w:tcW w:type="dxa" w:w="1450"/>
          </w:tcPr>
          <w:p>
            <w:r>
              <w:rPr>
                <w:b w:val="false"/>
                <w:bCs w:val="false"/>
              </w:rPr>
              <w:t xml:space="preserve">VIOLATION</w:t>
            </w:r>
          </w:p>
        </w:tc>
      </w:tr>
    </w:tbl>
    <w:p>
      <w:r>
        <w:br w:type="page"/>
      </w:r>
    </w:p>
    <w:p>
      <w:pPr>
        <w:pStyle w:val="Heading1"/>
        <w:spacing w:before="300"/>
      </w:pPr>
      <w:r>
        <w:t xml:space="preserve">Synthèse</w:t>
      </w:r>
    </w:p>
    <w:p>
      <w:pPr>
        <w:pStyle w:val="Heading2"/>
        <w:spacing w:before="200"/>
      </w:pPr>
      <w:r>
        <w:t xml:space="preserve">1. Séparation evidence/reference : parfaite chez les trois modèles</w:t>
      </w:r>
    </w:p>
    <w:p>
      <w:pPr>
        <w:spacing w:after="120"/>
      </w:pPr>
      <w:r>
        <w:t xml:space="preserve">Sur les 39 exécutions, aucun modèle n'a jamais placé un identifiant CVE/MITRE/runbook dans evidence_ids, ni un identifiant EVD-#### dans reference_ids. Cette règle de séparation (spec section 3) est visiblement bien ancrée dans le prompt système, indépendamment du modèle.</w:t>
      </w:r>
    </w:p>
    <w:p>
      <w:pPr>
        <w:pStyle w:val="Heading2"/>
        <w:spacing w:before="200"/>
      </w:pPr>
      <w:r>
        <w:t xml:space="preserve">2. La résilience face à une entrée adverse (scénario G) distingue vraiment les modèles</w:t>
      </w:r>
    </w:p>
    <w:p>
      <w:pPr>
        <w:spacing w:after="120"/>
      </w:pPr>
      <w:r>
        <w:t xml:space="preserve">Le scénario G (aucune preuve, instruction de répondre par un simple "OK") est le test le plus révélateur : Foundation-Sec et Llama 3.1 ont tous deux correctement refusé de produire une Claim sans preuve. Qwen 2.5 a en revanche halluciné une citation CVE précise, non présente dans le contexte — un vrai signal de qualité en défaveur de Qwen 2.5 sur ce point précis.</w:t>
      </w:r>
    </w:p>
    <w:p>
      <w:pPr>
        <w:pStyle w:val="Heading2"/>
        <w:spacing w:before="200"/>
      </w:pPr>
      <w:r>
        <w:t xml:space="preserve">3. Foundation-Sec : deux échecs réels, mais sur des scénarios plus exigeants</w:t>
      </w:r>
    </w:p>
    <w:p>
      <w:pPr>
        <w:spacing w:after="120"/>
      </w:pPr>
      <w:r>
        <w:t xml:space="preserve">Les deux violations de Foundation-Sec (ML2, ML4) surviennent sur des scénarios multilingues combinant plusieurs types de preuves (ticket + runbook), un cas plus complexe que le scénario G. Il n'est pas certain que ce soit un signal de qualité générale inférieure — cela pourrait aussi refléter une difficulté accrue de ces scénarios précis. Un échantillon plus large serait nécessaire pour trancher.</w:t>
      </w:r>
    </w:p>
    <w:p>
      <w:pPr>
        <w:pStyle w:val="Heading2"/>
        <w:spacing w:before="200"/>
      </w:pPr>
      <w:r>
        <w:t xml:space="preserve">4. Confiance déclarée</w:t>
      </w:r>
    </w:p>
    <w:p>
      <w:pPr>
        <w:spacing w:after="120"/>
      </w:pPr>
      <w:r>
        <w:t xml:space="preserve">Les trois modèles déclarent une confiance élevée (0.95 à 1.0) y compris sur des Claims que le Vérifieur juge ensuite insuffisamment prouvées (scénario A) — aucun des trois ne module sa confiance en fonction de la qualité réelle des preuves disponibles. Ce n'est pas un défaut propre à un modèle : le contrat actuel ne demande pas explicitement cette calibration.</w:t>
      </w:r>
    </w:p>
    <w:p/>
    <w:p>
      <w:pPr>
        <w:spacing w:after="120"/>
      </w:pPr>
      <w:r>
        <w:rPr>
          <w:b/>
          <w:bCs/>
        </w:rPr>
        <w:t xml:space="preserve">Conclusion : sur le respect strict du contrat Générateur (citations, séparation evidence/reference, autorité de source), aucun des trois modèles n'est irréprochable, mais Llama 3.1 présente le meilleur bilan sur cet échantillon (0 violation réelle), suivi de Qwen 2.5 (1, correctement intercepté) puis Foundation-Sec (2, également correctement interceptés). Dans les trois cas, le garde-fou côté orchestrateur (validate_citations, enforce_source_authority) a fonctionné : aucune citation hallucinée n'a jamais atteint une réponse finale.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2026-07-31T13:58:43.136Z</dcterms:created>
  <dcterms:modified xsi:type="dcterms:W3CDTF">2026-07-31T13:58:43.137Z</dcterms:modified>
</cp:coreProperties>
</file>

<file path=docProps/custom.xml><?xml version="1.0" encoding="utf-8"?>
<Properties xmlns="http://schemas.openxmlformats.org/officeDocument/2006/custom-properties" xmlns:vt="http://schemas.openxmlformats.org/officeDocument/2006/docPropsVTypes"/>
</file>