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CYBERTRUST AGENTS</w:t>
      </w:r>
    </w:p>
    <w:p>
      <w:pPr>
        <w:spacing w:after="120"/>
      </w:pPr>
      <w:r>
        <w:rPr>
          <w:i/>
          <w:iCs/>
        </w:rPr>
        <w:t xml:space="preserve">Pilote SecOps multi-LLM sécurisé destiné au CISO</w:t>
      </w:r>
    </w:p>
    <w:p/>
    <w:p>
      <w:pPr>
        <w:pStyle w:val="Heading1"/>
        <w:spacing w:before="300"/>
      </w:pPr>
      <w:r>
        <w:t xml:space="preserve">Registre des risques — v2 (mise à jour)</w:t>
      </w:r>
    </w:p>
    <w:p>
      <w:pPr>
        <w:spacing w:after="80"/>
      </w:pPr>
      <w:r>
        <w:rPr>
          <w:b/>
          <w:bCs/>
        </w:rPr>
        <w:t xml:space="preserve">Préparé par : </w:t>
      </w:r>
      <w:r>
        <w:t xml:space="preserve">Ihab CHAHIDI</w:t>
      </w:r>
    </w:p>
    <w:p>
      <w:pPr>
        <w:spacing w:after="80"/>
      </w:pPr>
      <w:r>
        <w:rPr>
          <w:b/>
          <w:bCs/>
        </w:rPr>
        <w:t xml:space="preserve">Version : </w:t>
      </w:r>
      <w:r>
        <w:t xml:space="preserve">v2 — extrait mis à jour de la Semaine 1 (Synthèse des justifications R01–R18) ; le document Semaine 1 original est conservé séparément, non modifié</w:t>
      </w:r>
    </w:p>
    <w:p/>
    <w:p>
      <w:pPr>
        <w:pStyle w:val="Heading2"/>
        <w:spacing w:before="200"/>
      </w:pPr>
      <w:r>
        <w:t xml:space="preserve">Ce qui a changé depuis la v1</w:t>
      </w:r>
    </w:p>
    <w:p>
      <w:pPr>
        <w:pStyle w:val="ListParagraph"/>
        <w:numPr>
          <w:ilvl w:val="0"/>
          <w:numId w:val="1"/>
        </w:numPr>
        <w:spacing w:after="60"/>
      </w:pPr>
      <w:r>
        <w:t xml:space="preserve">R08 (Retard Copilot Studio) — supprimé du registre. Copilot Studio n'appartient plus à l'architecture (bascule définitive vers Foundation-Sec-8B via llama.cpp) ; ce risque n'a plus d'objet.</w:t>
      </w:r>
    </w:p>
    <w:p>
      <w:pPr>
        <w:pStyle w:val="ListParagraph"/>
        <w:numPr>
          <w:ilvl w:val="0"/>
          <w:numId w:val="1"/>
        </w:numPr>
        <w:spacing w:after="60"/>
      </w:pPr>
      <w:r>
        <w:t xml:space="preserve">R03 (Contamination du contexte entre rôles) — reformulé et recoté. Voir justification détaillée ci-dessous : le Validateur est confirmé 100% déterministe (aucun appel LLM), ce qui réduit structurellement la portée et la probabilité de ce risque par rapport à la v1.</w:t>
      </w:r>
    </w:p>
    <w:p>
      <w:pPr>
        <w:spacing w:after="120"/>
      </w:pPr>
      <w:r>
        <w:rPr>
          <w:i/>
          <w:iCs/>
        </w:rPr>
        <w:t xml:space="preserve">Les autres sections de la Semaine 1 (contrats de données, routage MCP, modèle de scoring, plan de tests) ne sont pas concernées par cette mise à jour et restent inchangées dans le document original.</w:t>
      </w:r>
    </w:p>
    <w:p>
      <w:r>
        <w:br w:type="page"/>
      </w:r>
    </w:p>
    <w:p>
      <w:pPr>
        <w:pStyle w:val="Heading1"/>
        <w:spacing w:before="300"/>
      </w:pPr>
      <w:r>
        <w:t xml:space="preserve">1. Principe de cotation</w:t>
      </w:r>
    </w:p>
    <w:p>
      <w:pPr>
        <w:spacing w:after="120"/>
      </w:pPr>
      <w:r>
        <w:t xml:space="preserve">Une norme externe confirme qu'un risque existe, mais elle ne fournit pas directement sa valeur numérique. Les niveaux de probabilité et d'impact doivent être justifiés par des éléments propres au projet : architecture, tests, incidents observés, SLA, contrôles en place et conséquences sur la décision du CISO.</w:t>
      </w:r>
    </w:p>
    <w:p>
      <w:pPr>
        <w:spacing w:after="120"/>
      </w:pPr>
      <w:r>
        <w:rPr>
          <w:i/>
          <w:iCs/>
        </w:rPr>
        <w:t xml:space="preserve">Formulation recommandée : « La catégorie de risque est soutenue par la norme citée. Les valeurs de probabilité et d'impact sont des estimations propres au projet, fondées sur l'architecture, les contrôles, les résultats de tests et les hypothèses opérationnelles. »</w:t>
      </w:r>
    </w:p>
    <w:p>
      <w:pPr>
        <w:pStyle w:val="Heading1"/>
        <w:spacing w:before="300"/>
      </w:pPr>
      <w:r>
        <w:t xml:space="preserve">2. Échelles utilisées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c>
          <w:tcPr>
            <w:tcW w:type="dxa" w:w="1800"/>
            <w:shd w:fill="D6DBDF" w:val="clear"/>
          </w:tcPr>
          <w:p>
            <w:r>
              <w:rPr>
                <w:b/>
                <w:bCs/>
              </w:rPr>
              <w:t xml:space="preserve">Facteur</w:t>
            </w:r>
          </w:p>
        </w:tc>
        <w:tc>
          <w:tcPr>
            <w:tcW w:type="dxa" w:w="1800"/>
            <w:shd w:fill="D6DBDF" w:val="clear"/>
          </w:tcPr>
          <w:p>
            <w:r>
              <w:rPr>
                <w:b/>
                <w:bCs/>
              </w:rPr>
              <w:t xml:space="preserve">Niveau</w:t>
            </w:r>
          </w:p>
        </w:tc>
        <w:tc>
          <w:tcPr>
            <w:tcW w:type="dxa" w:w="5750"/>
            <w:shd w:fill="D6DBDF" w:val="clear"/>
          </w:tcPr>
          <w:p>
            <w:r>
              <w:rPr>
                <w:b/>
                <w:bCs/>
              </w:rPr>
              <w:t xml:space="preserve">Critère synthétique</w:t>
            </w:r>
          </w:p>
        </w:tc>
      </w:tr>
      <w:tr>
        <w:tc>
          <w:tcPr>
            <w:tcW w:type="dxa" w:w="1800"/>
          </w:tcPr>
          <w:p>
            <w:r>
              <w:rPr>
                <w:b w:val="false"/>
                <w:bCs w:val="false"/>
              </w:rPr>
              <w:t xml:space="preserve">Probabilité</w:t>
            </w:r>
          </w:p>
        </w:tc>
        <w:tc>
          <w:tcPr>
            <w:tcW w:type="dxa" w:w="1800"/>
          </w:tcPr>
          <w:p>
            <w:r>
              <w:rPr>
                <w:b w:val="false"/>
                <w:bCs w:val="false"/>
              </w:rPr>
              <w:t xml:space="preserve">1 — Faible</w:t>
            </w:r>
          </w:p>
        </w:tc>
        <w:tc>
          <w:tcPr>
            <w:tcW w:type="dxa" w:w="5750"/>
          </w:tcPr>
          <w:p>
            <w:r>
              <w:rPr>
                <w:b w:val="false"/>
                <w:bCs w:val="false"/>
              </w:rPr>
              <w:t xml:space="preserve">Peu probable ; contrôles solides ; aucune occurrence pendant les tests ; repli opérationnel.</w:t>
            </w:r>
          </w:p>
        </w:tc>
      </w:tr>
      <w:tr>
        <w:tc>
          <w:tcPr>
            <w:tcW w:type="dxa" w:w="1800"/>
          </w:tcPr>
          <w:p>
            <w:r>
              <w:rPr>
                <w:b w:val="false"/>
                <w:bCs w:val="false"/>
              </w:rPr>
              <w:t xml:space="preserve">Probabilité</w:t>
            </w:r>
          </w:p>
        </w:tc>
        <w:tc>
          <w:tcPr>
            <w:tcW w:type="dxa" w:w="1800"/>
          </w:tcPr>
          <w:p>
            <w:r>
              <w:rPr>
                <w:b w:val="false"/>
                <w:bCs w:val="false"/>
              </w:rPr>
              <w:t xml:space="preserve">2 — Moyenne</w:t>
            </w:r>
          </w:p>
        </w:tc>
        <w:tc>
          <w:tcPr>
            <w:tcW w:type="dxa" w:w="5750"/>
          </w:tcPr>
          <w:p>
            <w:r>
              <w:rPr>
                <w:b w:val="false"/>
                <w:bCs w:val="false"/>
              </w:rPr>
              <w:t xml:space="preserve">Événement crédible ; dépendance existante ; contrôles partiels ; non observé de façon répétée.</w:t>
            </w:r>
          </w:p>
        </w:tc>
      </w:tr>
      <w:tr>
        <w:tc>
          <w:tcPr>
            <w:tcW w:type="dxa" w:w="1800"/>
          </w:tcPr>
          <w:p>
            <w:r>
              <w:rPr>
                <w:b w:val="false"/>
                <w:bCs w:val="false"/>
              </w:rPr>
              <w:t xml:space="preserve">Probabilité</w:t>
            </w:r>
          </w:p>
        </w:tc>
        <w:tc>
          <w:tcPr>
            <w:tcW w:type="dxa" w:w="1800"/>
          </w:tcPr>
          <w:p>
            <w:r>
              <w:rPr>
                <w:b w:val="false"/>
                <w:bCs w:val="false"/>
              </w:rPr>
              <w:t xml:space="preserve">3 — Élevée</w:t>
            </w:r>
          </w:p>
        </w:tc>
        <w:tc>
          <w:tcPr>
            <w:tcW w:type="dxa" w:w="5750"/>
          </w:tcPr>
          <w:p>
            <w:r>
              <w:rPr>
                <w:b w:val="false"/>
                <w:bCs w:val="false"/>
              </w:rPr>
              <w:t xml:space="preserve">Événement déjà observé, répété pendant les tests ou condition fortement exposée sans contrôle efficace.</w:t>
            </w:r>
          </w:p>
        </w:tc>
      </w:tr>
      <w:tr>
        <w:tc>
          <w:tcPr>
            <w:tcW w:type="dxa" w:w="1800"/>
          </w:tcPr>
          <w:p>
            <w:r>
              <w:rPr>
                <w:b w:val="false"/>
                <w:bCs w:val="false"/>
              </w:rPr>
              <w:t xml:space="preserve">Impact</w:t>
            </w:r>
          </w:p>
        </w:tc>
        <w:tc>
          <w:tcPr>
            <w:tcW w:type="dxa" w:w="1800"/>
          </w:tcPr>
          <w:p>
            <w:r>
              <w:rPr>
                <w:b w:val="false"/>
                <w:bCs w:val="false"/>
              </w:rPr>
              <w:t xml:space="preserve">1 — Faible</w:t>
            </w:r>
          </w:p>
        </w:tc>
        <w:tc>
          <w:tcPr>
            <w:tcW w:type="dxa" w:w="5750"/>
          </w:tcPr>
          <w:p>
            <w:r>
              <w:rPr>
                <w:b w:val="false"/>
                <w:bCs w:val="false"/>
              </w:rPr>
              <w:t xml:space="preserve">Incident local, rapidement récupérable, sans effet significatif sur la décision, les données ou le calendrier.</w:t>
            </w:r>
          </w:p>
        </w:tc>
      </w:tr>
      <w:tr>
        <w:tc>
          <w:tcPr>
            <w:tcW w:type="dxa" w:w="1800"/>
          </w:tcPr>
          <w:p>
            <w:r>
              <w:rPr>
                <w:b w:val="false"/>
                <w:bCs w:val="false"/>
              </w:rPr>
              <w:t xml:space="preserve">Impact</w:t>
            </w:r>
          </w:p>
        </w:tc>
        <w:tc>
          <w:tcPr>
            <w:tcW w:type="dxa" w:w="1800"/>
          </w:tcPr>
          <w:p>
            <w:r>
              <w:rPr>
                <w:b w:val="false"/>
                <w:bCs w:val="false"/>
              </w:rPr>
              <w:t xml:space="preserve">2 — Moyen</w:t>
            </w:r>
          </w:p>
        </w:tc>
        <w:tc>
          <w:tcPr>
            <w:tcW w:type="dxa" w:w="5750"/>
          </w:tcPr>
          <w:p>
            <w:r>
              <w:rPr>
                <w:b w:val="false"/>
                <w:bCs w:val="false"/>
              </w:rPr>
              <w:t xml:space="preserve">Interruption ou erreur récupérable nécessitant une intervention, sans violation majeure de sécurité.</w:t>
            </w:r>
          </w:p>
        </w:tc>
      </w:tr>
      <w:tr>
        <w:tc>
          <w:tcPr>
            <w:tcW w:type="dxa" w:w="1800"/>
          </w:tcPr>
          <w:p>
            <w:r>
              <w:rPr>
                <w:b w:val="false"/>
                <w:bCs w:val="false"/>
              </w:rPr>
              <w:t xml:space="preserve">Impact</w:t>
            </w:r>
          </w:p>
        </w:tc>
        <w:tc>
          <w:tcPr>
            <w:tcW w:type="dxa" w:w="1800"/>
          </w:tcPr>
          <w:p>
            <w:r>
              <w:rPr>
                <w:b w:val="false"/>
                <w:bCs w:val="false"/>
              </w:rPr>
              <w:t xml:space="preserve">3 — Élevé</w:t>
            </w:r>
          </w:p>
        </w:tc>
        <w:tc>
          <w:tcPr>
            <w:tcW w:type="dxa" w:w="5750"/>
          </w:tcPr>
          <w:p>
            <w:r>
              <w:rPr>
                <w:b w:val="false"/>
                <w:bCs w:val="false"/>
              </w:rPr>
              <w:t xml:space="preserve">Perte de confidentialité ou d'intégrité, décision non fiable, contournement d'un contrôle ou échec critique du pilote.</w:t>
            </w:r>
          </w:p>
        </w:tc>
      </w:tr>
    </w:tbl>
    <w:p>
      <w:pPr>
        <w:pStyle w:val="Heading1"/>
        <w:spacing w:before="300"/>
      </w:pPr>
      <w:r>
        <w:t xml:space="preserve">3. Détail R03 — Contamination du contexte entre rôles (mise à jour)</w:t>
      </w:r>
    </w:p>
    <w:p>
      <w:pPr>
        <w:spacing w:after="80"/>
      </w:pPr>
      <w:r>
        <w:rPr>
          <w:b/>
          <w:bCs/>
        </w:rPr>
        <w:t xml:space="preserve">Formulation v1 : </w:t>
      </w:r>
      <w:r>
        <w:t xml:space="preserve">« Contamination du contexte entre rôles » — sessions séparées mais infrastructure potentiellement partagée ; influence possible sur la décision finale. P2 × I3 = 6.</w:t>
      </w:r>
    </w:p>
    <w:p>
      <w:pPr>
        <w:spacing w:after="80"/>
      </w:pPr>
      <w:r>
        <w:rPr>
          <w:b/>
          <w:bCs/>
        </w:rPr>
        <w:t xml:space="preserve">Formulation v2 : </w:t>
      </w:r>
      <w:r>
        <w:t xml:space="preserve">« Contamination du contexte par un rôle Vérificateur LLM réintroduit »</w:t>
      </w:r>
    </w:p>
    <w:p>
      <w:pPr>
        <w:spacing w:after="120"/>
      </w:pPr>
      <w:r>
        <w:t xml:space="preserve">Le Validateur (mcp_server/llm_roles/mock_validator.py et policy_validator.py) est confirmé 100% déterministe : il ne fait jamais appel à un LLM, quel que soit le mode configuré — il délègue uniquement à mcp_server/policy.py::decide(), une fonction pure. Le risque de contamination via un modèle mutualisé ne s'applique donc structurellement plus à ce rôle.</w:t>
      </w:r>
    </w:p>
    <w:p>
      <w:pPr>
        <w:spacing w:after="120"/>
      </w:pPr>
      <w:r>
        <w:t xml:space="preserve">Le risque résiduel ne concerne que le Vérificateur, et uniquement si un Vérificateur LLM réel (le pipeline Ollama, aujourd'hui archivé dans legacy/) était un jour réintroduit et partagé avec un autre rôle. De plus, l'isolation elle-même est garantie par la forme des interfaces (la signature de Validator.validate() ne peut recevoir ni le catalogue Evidence, ni le Claim, ni le contexte du Vérificateur), vérifiée par un test automatisé dédié (TC-14, tests/test_isolation.py::test_shared_model_two_sessions_do_not_leak_context) — une garantie de code, pas seulement une hypothèse d'infrastructure.</w:t>
      </w:r>
    </w:p>
    <w:p>
      <w:pPr>
        <w:spacing w:after="80"/>
      </w:pPr>
      <w:r>
        <w:rPr>
          <w:b/>
          <w:bCs/>
        </w:rPr>
        <w:t xml:space="preserve">Probabilité : </w:t>
      </w:r>
      <w:r>
        <w:t xml:space="preserve">1 — Faible (aucun rôle LLM partagé n'est déployé aujourd'hui ; l'isolation est en outre testée et garantie par la forme des interfaces, pas seulement par la séparation des sessions)</w:t>
      </w:r>
    </w:p>
    <w:p>
      <w:pPr>
        <w:spacing w:after="80"/>
      </w:pPr>
      <w:r>
        <w:rPr>
          <w:b/>
          <w:bCs/>
        </w:rPr>
        <w:t xml:space="preserve">Impact : </w:t>
      </w:r>
      <w:r>
        <w:t xml:space="preserve">2 — Moyen (inchangé : si ce risque se matérialisait malgré tout, l'influence sur la décision finale resterait significative)</w:t>
      </w:r>
    </w:p>
    <w:p>
      <w:pPr>
        <w:spacing w:after="80"/>
      </w:pPr>
      <w:r>
        <w:rPr>
          <w:b/>
          <w:bCs/>
        </w:rPr>
        <w:t xml:space="preserve">Nouvelle cotation : </w:t>
      </w:r>
      <w:r>
        <w:t xml:space="preserve">R03 = P1 × I2 = 2 (contre P2 × I3 = 6 en v1)</w:t>
      </w:r>
    </w:p>
    <w:p>
      <w:pPr>
        <w:spacing w:after="120"/>
      </w:pPr>
      <w:r>
        <w:t xml:space="preserve">Réévaluation : repasser à P2 si un Vérificateur LLM réel est un jour redéployé en partageant un modèle avec un autre rôle.</w:t>
      </w:r>
    </w:p>
    <w:p>
      <w:r>
        <w:br w:type="page"/>
      </w:r>
    </w:p>
    <w:p>
      <w:pPr>
        <w:pStyle w:val="Heading1"/>
        <w:spacing w:before="300"/>
      </w:pPr>
      <w:r>
        <w:t xml:space="preserve">4. Synthèse des justifications R01–R18 (v2)</w:t>
      </w:r>
    </w:p>
    <w:p>
      <w:pPr>
        <w:spacing w:after="120"/>
      </w:pPr>
      <w:r>
        <w:rPr>
          <w:i/>
          <w:iCs/>
        </w:rPr>
        <w:t xml:space="preserve">R08 a été retiré du registre (voir Ce qui a changé, page 1). Les identifiants R01–R02 et R04–R18 sont inchangés depuis la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gridCol w:w="4150"/>
      </w:tblGrid>
      <w:tr>
        <w:tc>
          <w:tcPr>
            <w:tcW w:type="dxa" w:w="700"/>
            <w:shd w:fill="D6DBDF" w:val="clear"/>
          </w:tcPr>
          <w:p>
            <w:r>
              <w:rPr>
                <w:b/>
                <w:bCs/>
              </w:rPr>
              <w:t xml:space="preserve">ID</w:t>
            </w:r>
          </w:p>
        </w:tc>
        <w:tc>
          <w:tcPr>
            <w:tcW w:type="dxa" w:w="3300"/>
            <w:shd w:fill="D6DBDF" w:val="clear"/>
          </w:tcPr>
          <w:p>
            <w:r>
              <w:rPr>
                <w:b/>
                <w:bCs/>
              </w:rPr>
              <w:t xml:space="preserve">Risque</w:t>
            </w:r>
          </w:p>
        </w:tc>
        <w:tc>
          <w:tcPr>
            <w:tcW w:type="dxa" w:w="1200"/>
            <w:shd w:fill="D6DBDF" w:val="clear"/>
          </w:tcPr>
          <w:p>
            <w:r>
              <w:rPr>
                <w:b/>
                <w:bCs/>
              </w:rPr>
              <w:t xml:space="preserve">Cotation</w:t>
            </w:r>
          </w:p>
        </w:tc>
        <w:tc>
          <w:tcPr>
            <w:tcW w:type="dxa" w:w="4150"/>
            <w:shd w:fill="D6DBDF" w:val="clear"/>
          </w:tcPr>
          <w:p>
            <w:r>
              <w:rPr>
                <w:b/>
                <w:bCs/>
              </w:rPr>
              <w:t xml:space="preserve">Justification synthétique</w:t>
            </w:r>
          </w:p>
        </w:tc>
      </w:tr>
      <w:tr>
        <w:tc>
          <w:tcPr>
            <w:tcW w:type="dxa" w:w="700"/>
          </w:tcPr>
          <w:p>
            <w:r>
              <w:rPr>
                <w:b w:val="false"/>
                <w:bCs w:val="false"/>
              </w:rPr>
              <w:t xml:space="preserve">R01</w:t>
            </w:r>
          </w:p>
        </w:tc>
        <w:tc>
          <w:tcPr>
            <w:tcW w:type="dxa" w:w="3300"/>
          </w:tcPr>
          <w:p>
            <w:r>
              <w:rPr>
                <w:b w:val="false"/>
                <w:bCs w:val="false"/>
              </w:rPr>
              <w:t xml:space="preserve">Latence / indisponibilité LLM externe</w:t>
            </w:r>
          </w:p>
        </w:tc>
        <w:tc>
          <w:tcPr>
            <w:tcW w:type="dxa" w:w="1200"/>
          </w:tcPr>
          <w:p>
            <w:r>
              <w:rPr>
                <w:b w:val="false"/>
                <w:bCs w:val="false"/>
              </w:rPr>
              <w:t xml:space="preserve">2×2=4</w:t>
            </w:r>
          </w:p>
        </w:tc>
        <w:tc>
          <w:tcPr>
            <w:tcW w:type="dxa" w:w="4150"/>
          </w:tcPr>
          <w:p>
            <w:r>
              <w:rPr>
                <w:b w:val="false"/>
                <w:bCs w:val="false"/>
              </w:rPr>
              <w:t xml:space="preserve">Dépendance externe plausible ; interruption temporaire et récupérable.</w:t>
            </w:r>
          </w:p>
        </w:tc>
      </w:tr>
      <w:tr>
        <w:tc>
          <w:tcPr>
            <w:tcW w:type="dxa" w:w="700"/>
          </w:tcPr>
          <w:p>
            <w:r>
              <w:rPr>
                <w:b w:val="false"/>
                <w:bCs w:val="false"/>
              </w:rPr>
              <w:t xml:space="preserve">R02</w:t>
            </w:r>
          </w:p>
        </w:tc>
        <w:tc>
          <w:tcPr>
            <w:tcW w:type="dxa" w:w="3300"/>
          </w:tcPr>
          <w:p>
            <w:r>
              <w:rPr>
                <w:b w:val="false"/>
                <w:bCs w:val="false"/>
              </w:rPr>
              <w:t xml:space="preserve">Sortie LLM non conforme au schéma JSON</w:t>
            </w:r>
          </w:p>
        </w:tc>
        <w:tc>
          <w:tcPr>
            <w:tcW w:type="dxa" w:w="1200"/>
          </w:tcPr>
          <w:p>
            <w:r>
              <w:rPr>
                <w:b w:val="false"/>
                <w:bCs w:val="false"/>
              </w:rPr>
              <w:t xml:space="preserve">3×3=9</w:t>
            </w:r>
          </w:p>
        </w:tc>
        <w:tc>
          <w:tcPr>
            <w:tcW w:type="dxa" w:w="4150"/>
          </w:tcPr>
          <w:p>
            <w:r>
              <w:rPr>
                <w:b w:val="false"/>
                <w:bCs w:val="false"/>
              </w:rPr>
              <w:t xml:space="preserve">P3 seulement si erreurs répétées ; impact inhérent élevé sans validation. Résiduel réduit par validation stricte.</w:t>
            </w:r>
          </w:p>
        </w:tc>
      </w:tr>
      <w:tr>
        <w:tc>
          <w:tcPr>
            <w:tcW w:type="dxa" w:w="700"/>
          </w:tcPr>
          <w:p>
            <w:r>
              <w:rPr>
                <w:b w:val="false"/>
                <w:bCs w:val="false"/>
              </w:rPr>
              <w:t xml:space="preserve">R03</w:t>
            </w:r>
          </w:p>
        </w:tc>
        <w:tc>
          <w:tcPr>
            <w:tcW w:type="dxa" w:w="3300"/>
          </w:tcPr>
          <w:p>
            <w:r>
              <w:rPr>
                <w:b w:val="false"/>
                <w:bCs w:val="false"/>
              </w:rPr>
              <w:t xml:space="preserve">Contamination du contexte par un rôle Vérificateur LLM réintroduit</w:t>
            </w:r>
          </w:p>
        </w:tc>
        <w:tc>
          <w:tcPr>
            <w:tcW w:type="dxa" w:w="1200"/>
          </w:tcPr>
          <w:p>
            <w:r>
              <w:rPr>
                <w:b w:val="false"/>
                <w:bCs w:val="false"/>
              </w:rPr>
              <w:t xml:space="preserve">1×2=2</w:t>
            </w:r>
          </w:p>
        </w:tc>
        <w:tc>
          <w:tcPr>
            <w:tcW w:type="dxa" w:w="4150"/>
          </w:tcPr>
          <w:p>
            <w:r>
              <w:rPr>
                <w:b w:val="false"/>
                <w:bCs w:val="false"/>
              </w:rPr>
              <w:t xml:space="preserve">Validateur confirmé 100% déterministe (aucun LLM) ; isolation garantie par la forme des interfaces, testée (TC-14). Risque résiduel limité au seul Vérificateur, en cas de réintroduction future d'un LLM partagé.</w:t>
            </w:r>
          </w:p>
        </w:tc>
      </w:tr>
      <w:tr>
        <w:tc>
          <w:tcPr>
            <w:tcW w:type="dxa" w:w="700"/>
          </w:tcPr>
          <w:p>
            <w:r>
              <w:rPr>
                <w:b w:val="false"/>
                <w:bCs w:val="false"/>
              </w:rPr>
              <w:t xml:space="preserve">R04</w:t>
            </w:r>
          </w:p>
        </w:tc>
        <w:tc>
          <w:tcPr>
            <w:tcW w:type="dxa" w:w="3300"/>
          </w:tcPr>
          <w:p>
            <w:r>
              <w:rPr>
                <w:b w:val="false"/>
                <w:bCs w:val="false"/>
              </w:rPr>
              <w:t xml:space="preserve">Injection de prompt</w:t>
            </w:r>
          </w:p>
        </w:tc>
        <w:tc>
          <w:tcPr>
            <w:tcW w:type="dxa" w:w="1200"/>
          </w:tcPr>
          <w:p>
            <w:r>
              <w:rPr>
                <w:b w:val="false"/>
                <w:bCs w:val="false"/>
              </w:rPr>
              <w:t xml:space="preserve">2×3=6</w:t>
            </w:r>
          </w:p>
        </w:tc>
        <w:tc>
          <w:tcPr>
            <w:tcW w:type="dxa" w:w="4150"/>
          </w:tcPr>
          <w:p>
            <w:r>
              <w:rPr>
                <w:b w:val="false"/>
                <w:bCs w:val="false"/>
              </w:rPr>
              <w:t xml:space="preserve">Contenu naturel traité ; une injection réussie peut détourner les instructions ou la vérification.</w:t>
            </w:r>
          </w:p>
        </w:tc>
      </w:tr>
      <w:tr>
        <w:tc>
          <w:tcPr>
            <w:tcW w:type="dxa" w:w="700"/>
          </w:tcPr>
          <w:p>
            <w:r>
              <w:rPr>
                <w:b w:val="false"/>
                <w:bCs w:val="false"/>
              </w:rPr>
              <w:t xml:space="preserve">R05</w:t>
            </w:r>
          </w:p>
        </w:tc>
        <w:tc>
          <w:tcPr>
            <w:tcW w:type="dxa" w:w="3300"/>
          </w:tcPr>
          <w:p>
            <w:r>
              <w:rPr>
                <w:b w:val="false"/>
                <w:bCs w:val="false"/>
              </w:rPr>
              <w:t xml:space="preserve">Exfiltration par entrées / sorties LLM</w:t>
            </w:r>
          </w:p>
        </w:tc>
        <w:tc>
          <w:tcPr>
            <w:tcW w:type="dxa" w:w="1200"/>
          </w:tcPr>
          <w:p>
            <w:r>
              <w:rPr>
                <w:b w:val="false"/>
                <w:bCs w:val="false"/>
              </w:rPr>
              <w:t xml:space="preserve">2×3=6</w:t>
            </w:r>
          </w:p>
        </w:tc>
        <w:tc>
          <w:tcPr>
            <w:tcW w:type="dxa" w:w="4150"/>
          </w:tcPr>
          <w:p>
            <w:r>
              <w:rPr>
                <w:b w:val="false"/>
                <w:bCs w:val="false"/>
              </w:rPr>
              <w:t xml:space="preserve">Traitement de contenu interne ; une fuite peut exposer des données, identifiants ou instructions.</w:t>
            </w:r>
          </w:p>
        </w:tc>
      </w:tr>
      <w:tr>
        <w:tc>
          <w:tcPr>
            <w:tcW w:type="dxa" w:w="700"/>
          </w:tcPr>
          <w:p>
            <w:r>
              <w:rPr>
                <w:b w:val="false"/>
                <w:bCs w:val="false"/>
              </w:rPr>
              <w:t xml:space="preserve">R06</w:t>
            </w:r>
          </w:p>
        </w:tc>
        <w:tc>
          <w:tcPr>
            <w:tcW w:type="dxa" w:w="3300"/>
          </w:tcPr>
          <w:p>
            <w:r>
              <w:rPr>
                <w:b w:val="false"/>
                <w:bCs w:val="false"/>
              </w:rPr>
              <w:t xml:space="preserve">Claim référençant une Evidence inexistante</w:t>
            </w:r>
          </w:p>
        </w:tc>
        <w:tc>
          <w:tcPr>
            <w:tcW w:type="dxa" w:w="1200"/>
          </w:tcPr>
          <w:p>
            <w:r>
              <w:rPr>
                <w:b w:val="false"/>
                <w:bCs w:val="false"/>
              </w:rPr>
              <w:t xml:space="preserve">3×3=9</w:t>
            </w:r>
          </w:p>
        </w:tc>
        <w:tc>
          <w:tcPr>
            <w:tcW w:type="dxa" w:w="4150"/>
          </w:tcPr>
          <w:p>
            <w:r>
              <w:rPr>
                <w:b w:val="false"/>
                <w:bCs w:val="false"/>
              </w:rPr>
              <w:t xml:space="preserve">P3 uniquement si références invalides répétées ; perte de traçabilité si l'erreur n'est pas bloquée.</w:t>
            </w:r>
          </w:p>
        </w:tc>
      </w:tr>
      <w:tr>
        <w:tc>
          <w:tcPr>
            <w:tcW w:type="dxa" w:w="700"/>
          </w:tcPr>
          <w:p>
            <w:r>
              <w:rPr>
                <w:b w:val="false"/>
                <w:bCs w:val="false"/>
              </w:rPr>
              <w:t xml:space="preserve">R07</w:t>
            </w:r>
          </w:p>
        </w:tc>
        <w:tc>
          <w:tcPr>
            <w:tcW w:type="dxa" w:w="3300"/>
          </w:tcPr>
          <w:p>
            <w:r>
              <w:rPr>
                <w:b w:val="false"/>
                <w:bCs w:val="false"/>
              </w:rPr>
              <w:t xml:space="preserve">Extension non maîtrisée du périmètre</w:t>
            </w:r>
          </w:p>
        </w:tc>
        <w:tc>
          <w:tcPr>
            <w:tcW w:type="dxa" w:w="1200"/>
          </w:tcPr>
          <w:p>
            <w:r>
              <w:rPr>
                <w:b w:val="false"/>
                <w:bCs w:val="false"/>
              </w:rPr>
              <w:t xml:space="preserve">2×3=6</w:t>
            </w:r>
          </w:p>
        </w:tc>
        <w:tc>
          <w:tcPr>
            <w:tcW w:type="dxa" w:w="4150"/>
          </w:tcPr>
          <w:p>
            <w:r>
              <w:rPr>
                <w:b w:val="false"/>
                <w:bCs w:val="false"/>
              </w:rPr>
              <w:t xml:space="preserve">Demandes supplémentaires plausibles ; risque de retard et d'invalidation du plan de tests.</w:t>
            </w:r>
          </w:p>
        </w:tc>
      </w:tr>
      <w:tr>
        <w:tc>
          <w:tcPr>
            <w:tcW w:type="dxa" w:w="700"/>
          </w:tcPr>
          <w:p>
            <w:r>
              <w:rPr>
                <w:b w:val="false"/>
                <w:bCs w:val="false"/>
              </w:rPr>
              <w:t xml:space="preserve">R09</w:t>
            </w:r>
          </w:p>
        </w:tc>
        <w:tc>
          <w:tcPr>
            <w:tcW w:type="dxa" w:w="3300"/>
          </w:tcPr>
          <w:p>
            <w:r>
              <w:rPr>
                <w:b w:val="false"/>
                <w:bCs w:val="false"/>
              </w:rPr>
              <w:t xml:space="preserve">Données fictives peu représentatives</w:t>
            </w:r>
          </w:p>
        </w:tc>
        <w:tc>
          <w:tcPr>
            <w:tcW w:type="dxa" w:w="1200"/>
          </w:tcPr>
          <w:p>
            <w:r>
              <w:rPr>
                <w:b w:val="false"/>
                <w:bCs w:val="false"/>
              </w:rPr>
              <w:t xml:space="preserve">2×2=4</w:t>
            </w:r>
          </w:p>
        </w:tc>
        <w:tc>
          <w:tcPr>
            <w:tcW w:type="dxa" w:w="4150"/>
          </w:tcPr>
          <w:p>
            <w:r>
              <w:rPr>
                <w:b w:val="false"/>
                <w:bCs w:val="false"/>
              </w:rPr>
              <w:t xml:space="preserve">Petit catalogue susceptible d'omettre des cas ; conclusions de tests potentiellement incomplètes.</w:t>
            </w:r>
          </w:p>
        </w:tc>
      </w:tr>
      <w:tr>
        <w:tc>
          <w:tcPr>
            <w:tcW w:type="dxa" w:w="700"/>
          </w:tcPr>
          <w:p>
            <w:r>
              <w:rPr>
                <w:b w:val="false"/>
                <w:bCs w:val="false"/>
              </w:rPr>
              <w:t xml:space="preserve">R10</w:t>
            </w:r>
          </w:p>
        </w:tc>
        <w:tc>
          <w:tcPr>
            <w:tcW w:type="dxa" w:w="3300"/>
          </w:tcPr>
          <w:p>
            <w:r>
              <w:rPr>
                <w:b w:val="false"/>
                <w:bCs w:val="false"/>
              </w:rPr>
              <w:t xml:space="preserve">Fuite de secret API ou jeton</w:t>
            </w:r>
          </w:p>
        </w:tc>
        <w:tc>
          <w:tcPr>
            <w:tcW w:type="dxa" w:w="1200"/>
          </w:tcPr>
          <w:p>
            <w:r>
              <w:rPr>
                <w:b w:val="false"/>
                <w:bCs w:val="false"/>
              </w:rPr>
              <w:t xml:space="preserve">2×3=6</w:t>
            </w:r>
          </w:p>
        </w:tc>
        <w:tc>
          <w:tcPr>
            <w:tcW w:type="dxa" w:w="4150"/>
          </w:tcPr>
          <w:p>
            <w:r>
              <w:rPr>
                <w:b w:val="false"/>
                <w:bCs w:val="false"/>
              </w:rPr>
              <w:t xml:space="preserve">Identifiants nécessaires mais protégés ; fuite susceptible de permettre des appels non autorisés.</w:t>
            </w:r>
          </w:p>
        </w:tc>
      </w:tr>
      <w:tr>
        <w:tc>
          <w:tcPr>
            <w:tcW w:type="dxa" w:w="700"/>
          </w:tcPr>
          <w:p>
            <w:r>
              <w:rPr>
                <w:b w:val="false"/>
                <w:bCs w:val="false"/>
              </w:rPr>
              <w:t xml:space="preserve">R11</w:t>
            </w:r>
          </w:p>
        </w:tc>
        <w:tc>
          <w:tcPr>
            <w:tcW w:type="dxa" w:w="3300"/>
          </w:tcPr>
          <w:p>
            <w:r>
              <w:rPr>
                <w:b w:val="false"/>
                <w:bCs w:val="false"/>
              </w:rPr>
              <w:t xml:space="preserve">Calibration insuffisante du scoring</w:t>
            </w:r>
          </w:p>
        </w:tc>
        <w:tc>
          <w:tcPr>
            <w:tcW w:type="dxa" w:w="1200"/>
          </w:tcPr>
          <w:p>
            <w:r>
              <w:rPr>
                <w:b w:val="false"/>
                <w:bCs w:val="false"/>
              </w:rPr>
              <w:t xml:space="preserve">2×2=4</w:t>
            </w:r>
          </w:p>
        </w:tc>
        <w:tc>
          <w:tcPr>
            <w:tcW w:type="dxa" w:w="4150"/>
          </w:tcPr>
          <w:p>
            <w:r>
              <w:rPr>
                <w:b w:val="false"/>
                <w:bCs w:val="false"/>
              </w:rPr>
              <w:t xml:space="preserve">Seuils encore provisoires ; mauvaise priorisation possible sans remédiation automatique.</w:t>
            </w:r>
          </w:p>
        </w:tc>
      </w:tr>
      <w:tr>
        <w:tc>
          <w:tcPr>
            <w:tcW w:type="dxa" w:w="700"/>
          </w:tcPr>
          <w:p>
            <w:r>
              <w:rPr>
                <w:b w:val="false"/>
                <w:bCs w:val="false"/>
              </w:rPr>
              <w:t xml:space="preserve">R12</w:t>
            </w:r>
          </w:p>
        </w:tc>
        <w:tc>
          <w:tcPr>
            <w:tcW w:type="dxa" w:w="3300"/>
          </w:tcPr>
          <w:p>
            <w:r>
              <w:rPr>
                <w:b w:val="false"/>
                <w:bCs w:val="false"/>
              </w:rPr>
              <w:t xml:space="preserve">Données sensibles dans les journaux</w:t>
            </w:r>
          </w:p>
        </w:tc>
        <w:tc>
          <w:tcPr>
            <w:tcW w:type="dxa" w:w="1200"/>
          </w:tcPr>
          <w:p>
            <w:r>
              <w:rPr>
                <w:b w:val="false"/>
                <w:bCs w:val="false"/>
              </w:rPr>
              <w:t xml:space="preserve">2×3=6</w:t>
            </w:r>
          </w:p>
        </w:tc>
        <w:tc>
          <w:tcPr>
            <w:tcW w:type="dxa" w:w="4150"/>
          </w:tcPr>
          <w:p>
            <w:r>
              <w:rPr>
                <w:b w:val="false"/>
                <w:bCs w:val="false"/>
              </w:rPr>
              <w:t xml:space="preserve">Logs riches en informations ; persistance d'un risque de divulgation si le masquage échoue.</w:t>
            </w:r>
          </w:p>
        </w:tc>
      </w:tr>
      <w:tr>
        <w:tc>
          <w:tcPr>
            <w:tcW w:type="dxa" w:w="700"/>
          </w:tcPr>
          <w:p>
            <w:r>
              <w:rPr>
                <w:b w:val="false"/>
                <w:bCs w:val="false"/>
              </w:rPr>
              <w:t xml:space="preserve">R13</w:t>
            </w:r>
          </w:p>
        </w:tc>
        <w:tc>
          <w:tcPr>
            <w:tcW w:type="dxa" w:w="3300"/>
          </w:tcPr>
          <w:p>
            <w:r>
              <w:rPr>
                <w:b w:val="false"/>
                <w:bCs w:val="false"/>
              </w:rPr>
              <w:t xml:space="preserve">Incompatibilité de version JSON Schema</w:t>
            </w:r>
          </w:p>
        </w:tc>
        <w:tc>
          <w:tcPr>
            <w:tcW w:type="dxa" w:w="1200"/>
          </w:tcPr>
          <w:p>
            <w:r>
              <w:rPr>
                <w:b w:val="false"/>
                <w:bCs w:val="false"/>
              </w:rPr>
              <w:t xml:space="preserve">2×2=4</w:t>
            </w:r>
          </w:p>
        </w:tc>
        <w:tc>
          <w:tcPr>
            <w:tcW w:type="dxa" w:w="4150"/>
          </w:tcPr>
          <w:p>
            <w:r>
              <w:rPr>
                <w:b w:val="false"/>
                <w:bCs w:val="false"/>
              </w:rPr>
              <w:t xml:space="preserve">Contrats évolutifs ; blocage de session récupérable par versionnement ou retour arrière.</w:t>
            </w:r>
          </w:p>
        </w:tc>
      </w:tr>
      <w:tr>
        <w:tc>
          <w:tcPr>
            <w:tcW w:type="dxa" w:w="700"/>
          </w:tcPr>
          <w:p>
            <w:r>
              <w:rPr>
                <w:b w:val="false"/>
                <w:bCs w:val="false"/>
              </w:rPr>
              <w:t xml:space="preserve">R14</w:t>
            </w:r>
          </w:p>
        </w:tc>
        <w:tc>
          <w:tcPr>
            <w:tcW w:type="dxa" w:w="3300"/>
          </w:tcPr>
          <w:p>
            <w:r>
              <w:rPr>
                <w:b w:val="false"/>
                <w:bCs w:val="false"/>
              </w:rPr>
              <w:t xml:space="preserve">Rejeu d'une ancienne requête</w:t>
            </w:r>
          </w:p>
        </w:tc>
        <w:tc>
          <w:tcPr>
            <w:tcW w:type="dxa" w:w="1200"/>
          </w:tcPr>
          <w:p>
            <w:r>
              <w:rPr>
                <w:b w:val="false"/>
                <w:bCs w:val="false"/>
              </w:rPr>
              <w:t xml:space="preserve">1×3=3</w:t>
            </w:r>
          </w:p>
        </w:tc>
        <w:tc>
          <w:tcPr>
            <w:tcW w:type="dxa" w:w="4150"/>
          </w:tcPr>
          <w:p>
            <w:r>
              <w:rPr>
                <w:b w:val="false"/>
                <w:bCs w:val="false"/>
              </w:rPr>
              <w:t xml:space="preserve">P1 seulement si IDs uniques, expiration et idempotence sont mis en œuvre et testés.</w:t>
            </w:r>
          </w:p>
        </w:tc>
      </w:tr>
      <w:tr>
        <w:tc>
          <w:tcPr>
            <w:tcW w:type="dxa" w:w="700"/>
          </w:tcPr>
          <w:p>
            <w:r>
              <w:rPr>
                <w:b w:val="false"/>
                <w:bCs w:val="false"/>
              </w:rPr>
              <w:t xml:space="preserve">R15</w:t>
            </w:r>
          </w:p>
        </w:tc>
        <w:tc>
          <w:tcPr>
            <w:tcW w:type="dxa" w:w="3300"/>
          </w:tcPr>
          <w:p>
            <w:r>
              <w:rPr>
                <w:b w:val="false"/>
                <w:bCs w:val="false"/>
              </w:rPr>
              <w:t xml:space="preserve">CISO indisponible pour le Go/No-Go</w:t>
            </w:r>
          </w:p>
        </w:tc>
        <w:tc>
          <w:tcPr>
            <w:tcW w:type="dxa" w:w="1200"/>
          </w:tcPr>
          <w:p>
            <w:r>
              <w:rPr>
                <w:b w:val="false"/>
                <w:bCs w:val="false"/>
              </w:rPr>
              <w:t xml:space="preserve">2×2=4</w:t>
            </w:r>
          </w:p>
        </w:tc>
        <w:tc>
          <w:tcPr>
            <w:tcW w:type="dxa" w:w="4150"/>
          </w:tcPr>
          <w:p>
            <w:r>
              <w:rPr>
                <w:b w:val="false"/>
                <w:bCs w:val="false"/>
              </w:rPr>
              <w:t xml:space="preserve">Dépendance à un décideur unique ; retard de gouvernance sans incident de sécurité direct.</w:t>
            </w:r>
          </w:p>
        </w:tc>
      </w:tr>
      <w:tr>
        <w:tc>
          <w:tcPr>
            <w:tcW w:type="dxa" w:w="700"/>
          </w:tcPr>
          <w:p>
            <w:r>
              <w:rPr>
                <w:b w:val="false"/>
                <w:bCs w:val="false"/>
              </w:rPr>
              <w:t xml:space="preserve">R16</w:t>
            </w:r>
          </w:p>
        </w:tc>
        <w:tc>
          <w:tcPr>
            <w:tcW w:type="dxa" w:w="3300"/>
          </w:tcPr>
          <w:p>
            <w:r>
              <w:rPr>
                <w:b w:val="false"/>
                <w:bCs w:val="false"/>
              </w:rPr>
              <w:t xml:space="preserve">Catalogue Evidence indisponible</w:t>
            </w:r>
          </w:p>
        </w:tc>
        <w:tc>
          <w:tcPr>
            <w:tcW w:type="dxa" w:w="1200"/>
          </w:tcPr>
          <w:p>
            <w:r>
              <w:rPr>
                <w:b w:val="false"/>
                <w:bCs w:val="false"/>
              </w:rPr>
              <w:t xml:space="preserve">1×3=3</w:t>
            </w:r>
          </w:p>
        </w:tc>
        <w:tc>
          <w:tcPr>
            <w:tcW w:type="dxa" w:w="4150"/>
          </w:tcPr>
          <w:p>
            <w:r>
              <w:rPr>
                <w:b w:val="false"/>
                <w:bCs w:val="false"/>
              </w:rPr>
              <w:t xml:space="preserve">P1 si local, versionné et sauvegardé ; indisponibilité totale bloquant tout le pipeline.</w:t>
            </w:r>
          </w:p>
        </w:tc>
      </w:tr>
      <w:tr>
        <w:tc>
          <w:tcPr>
            <w:tcW w:type="dxa" w:w="700"/>
          </w:tcPr>
          <w:p>
            <w:r>
              <w:rPr>
                <w:b w:val="false"/>
                <w:bCs w:val="false"/>
              </w:rPr>
              <w:t xml:space="preserve">R17</w:t>
            </w:r>
          </w:p>
        </w:tc>
        <w:tc>
          <w:tcPr>
            <w:tcW w:type="dxa" w:w="3300"/>
          </w:tcPr>
          <w:p>
            <w:r>
              <w:rPr>
                <w:b w:val="false"/>
                <w:bCs w:val="false"/>
              </w:rPr>
              <w:t xml:space="preserve">Mauvaise interprétation d'un statut</w:t>
            </w:r>
          </w:p>
        </w:tc>
        <w:tc>
          <w:tcPr>
            <w:tcW w:type="dxa" w:w="1200"/>
          </w:tcPr>
          <w:p>
            <w:r>
              <w:rPr>
                <w:b w:val="false"/>
                <w:bCs w:val="false"/>
              </w:rPr>
              <w:t xml:space="preserve">2×2=4</w:t>
            </w:r>
          </w:p>
        </w:tc>
        <w:tc>
          <w:tcPr>
            <w:tcW w:type="dxa" w:w="4150"/>
          </w:tcPr>
          <w:p>
            <w:r>
              <w:rPr>
                <w:b w:val="false"/>
                <w:bCs w:val="false"/>
              </w:rPr>
              <w:t xml:space="preserve">Libellés ambigus possibles ; mauvais routage ou mauvaise priorité, actions sensibles restant contrôlées.</w:t>
            </w:r>
          </w:p>
        </w:tc>
      </w:tr>
      <w:tr>
        <w:tc>
          <w:tcPr>
            <w:tcW w:type="dxa" w:w="700"/>
          </w:tcPr>
          <w:p>
            <w:r>
              <w:rPr>
                <w:b w:val="false"/>
                <w:bCs w:val="false"/>
              </w:rPr>
              <w:t xml:space="preserve">R18</w:t>
            </w:r>
          </w:p>
        </w:tc>
        <w:tc>
          <w:tcPr>
            <w:tcW w:type="dxa" w:w="3300"/>
          </w:tcPr>
          <w:p>
            <w:r>
              <w:rPr>
                <w:b w:val="false"/>
                <w:bCs w:val="false"/>
              </w:rPr>
              <w:t xml:space="preserve">Conservation / réutilisation par fournisseur</w:t>
            </w:r>
          </w:p>
        </w:tc>
        <w:tc>
          <w:tcPr>
            <w:tcW w:type="dxa" w:w="1200"/>
          </w:tcPr>
          <w:p>
            <w:r>
              <w:rPr>
                <w:b w:val="false"/>
                <w:bCs w:val="false"/>
              </w:rPr>
              <w:t xml:space="preserve">1×3=3</w:t>
            </w:r>
          </w:p>
        </w:tc>
        <w:tc>
          <w:tcPr>
            <w:tcW w:type="dxa" w:w="4150"/>
          </w:tcPr>
          <w:p>
            <w:r>
              <w:rPr>
                <w:b w:val="false"/>
                <w:bCs w:val="false"/>
              </w:rPr>
              <w:t xml:space="preserve">P1 seulement avec clauses no-training, rétention maîtrisée et absence d'usage secondaire.</w:t>
            </w:r>
          </w:p>
        </w:tc>
      </w:tr>
    </w:tbl>
    <w:p>
      <w:r>
        <w:br w:type="page"/>
      </w:r>
    </w:p>
    <w:p>
      <w:pPr>
        <w:pStyle w:val="Heading1"/>
        <w:spacing w:before="300"/>
      </w:pPr>
      <w:r>
        <w:t xml:space="preserve">5. Risque inhérent et risque résiduel</w:t>
      </w:r>
    </w:p>
    <w:p>
      <w:pPr>
        <w:spacing w:after="120"/>
      </w:pPr>
      <w:r>
        <w:t xml:space="preserve">La première cotation doit représenter le risque avant contrôles. Une seconde cotation doit mesurer le risque restant après application et test des mesures de traitement.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900"/>
        <w:gridCol w:w="3550"/>
        <w:gridCol w:w="900"/>
        <w:gridCol w:w="900"/>
        <w:gridCol w:w="700"/>
      </w:tblGrid>
      <w:tr>
        <w:tc>
          <w:tcPr>
            <w:tcW w:type="dxa" w:w="700"/>
            <w:shd w:fill="D6DBDF" w:val="clear"/>
          </w:tcPr>
          <w:p>
            <w:r>
              <w:rPr>
                <w:b/>
                <w:bCs/>
              </w:rPr>
              <w:t xml:space="preserve">ID</w:t>
            </w:r>
          </w:p>
        </w:tc>
        <w:tc>
          <w:tcPr>
            <w:tcW w:type="dxa" w:w="900"/>
            <w:shd w:fill="D6DBDF" w:val="clear"/>
          </w:tcPr>
          <w:p>
            <w:r>
              <w:rPr>
                <w:b/>
                <w:bCs/>
              </w:rPr>
              <w:t xml:space="preserve">P init.</w:t>
            </w:r>
          </w:p>
        </w:tc>
        <w:tc>
          <w:tcPr>
            <w:tcW w:type="dxa" w:w="900"/>
            <w:shd w:fill="D6DBDF" w:val="clear"/>
          </w:tcPr>
          <w:p>
            <w:r>
              <w:rPr>
                <w:b/>
                <w:bCs/>
              </w:rPr>
              <w:t xml:space="preserve">I init.</w:t>
            </w:r>
          </w:p>
        </w:tc>
        <w:tc>
          <w:tcPr>
            <w:tcW w:type="dxa" w:w="900"/>
            <w:shd w:fill="D6DBDF" w:val="clear"/>
          </w:tcPr>
          <w:p>
            <w:r>
              <w:rPr>
                <w:b/>
                <w:bCs/>
              </w:rPr>
              <w:t xml:space="preserve">Score</w:t>
            </w:r>
          </w:p>
        </w:tc>
        <w:tc>
          <w:tcPr>
            <w:tcW w:type="dxa" w:w="3550"/>
            <w:shd w:fill="D6DBDF" w:val="clear"/>
          </w:tcPr>
          <w:p>
            <w:r>
              <w:rPr>
                <w:b/>
                <w:bCs/>
              </w:rPr>
              <w:t xml:space="preserve">Contrôles</w:t>
            </w:r>
          </w:p>
        </w:tc>
        <w:tc>
          <w:tcPr>
            <w:tcW w:type="dxa" w:w="900"/>
            <w:shd w:fill="D6DBDF" w:val="clear"/>
          </w:tcPr>
          <w:p>
            <w:r>
              <w:rPr>
                <w:b/>
                <w:bCs/>
              </w:rPr>
              <w:t xml:space="preserve">P rés.</w:t>
            </w:r>
          </w:p>
        </w:tc>
        <w:tc>
          <w:tcPr>
            <w:tcW w:type="dxa" w:w="900"/>
            <w:shd w:fill="D6DBDF" w:val="clear"/>
          </w:tcPr>
          <w:p>
            <w:r>
              <w:rPr>
                <w:b/>
                <w:bCs/>
              </w:rPr>
              <w:t xml:space="preserve">I rés.</w:t>
            </w:r>
          </w:p>
        </w:tc>
        <w:tc>
          <w:tcPr>
            <w:tcW w:type="dxa" w:w="700"/>
            <w:shd w:fill="D6DBDF" w:val="clear"/>
          </w:tcPr>
          <w:p>
            <w:r>
              <w:rPr>
                <w:b/>
                <w:bCs/>
              </w:rPr>
              <w:t xml:space="preserve">Score rés.</w:t>
            </w:r>
          </w:p>
        </w:tc>
      </w:tr>
      <w:tr>
        <w:tc>
          <w:tcPr>
            <w:tcW w:type="dxa" w:w="700"/>
          </w:tcPr>
          <w:p>
            <w:r>
              <w:rPr>
                <w:b w:val="false"/>
                <w:bCs w:val="false"/>
              </w:rPr>
              <w:t xml:space="preserve">R01</w:t>
            </w:r>
          </w:p>
        </w:tc>
        <w:tc>
          <w:tcPr>
            <w:tcW w:type="dxa" w:w="900"/>
          </w:tcPr>
          <w:p>
            <w:r>
              <w:rPr>
                <w:b w:val="false"/>
                <w:bCs w:val="false"/>
              </w:rPr>
              <w:t xml:space="preserve">2</w:t>
            </w:r>
          </w:p>
        </w:tc>
        <w:tc>
          <w:tcPr>
            <w:tcW w:type="dxa" w:w="900"/>
          </w:tcPr>
          <w:p>
            <w:r>
              <w:rPr>
                <w:b w:val="false"/>
                <w:bCs w:val="false"/>
              </w:rPr>
              <w:t xml:space="preserve">2</w:t>
            </w:r>
          </w:p>
        </w:tc>
        <w:tc>
          <w:tcPr>
            <w:tcW w:type="dxa" w:w="900"/>
          </w:tcPr>
          <w:p>
            <w:r>
              <w:rPr>
                <w:b w:val="false"/>
                <w:bCs w:val="false"/>
              </w:rPr>
              <w:t xml:space="preserve">4</w:t>
            </w:r>
          </w:p>
        </w:tc>
        <w:tc>
          <w:tcPr>
            <w:tcW w:type="dxa" w:w="3550"/>
          </w:tcPr>
          <w:p>
            <w:r>
              <w:rPr>
                <w:b w:val="false"/>
                <w:bCs w:val="false"/>
              </w:rPr>
              <w:t xml:space="preserve">Timeout, retry et procédure de repli</w:t>
            </w:r>
          </w:p>
        </w:tc>
        <w:tc>
          <w:tcPr>
            <w:tcW w:type="dxa" w:w="900"/>
          </w:tcPr>
          <w:p>
            <w:r>
              <w:rPr>
                <w:b w:val="false"/>
                <w:bCs w:val="false"/>
              </w:rPr>
              <w:t xml:space="preserve">1</w:t>
            </w:r>
          </w:p>
        </w:tc>
        <w:tc>
          <w:tcPr>
            <w:tcW w:type="dxa" w:w="900"/>
          </w:tcPr>
          <w:p>
            <w:r>
              <w:rPr>
                <w:b w:val="false"/>
                <w:bCs w:val="false"/>
              </w:rPr>
              <w:t xml:space="preserve">2</w:t>
            </w:r>
          </w:p>
        </w:tc>
        <w:tc>
          <w:tcPr>
            <w:tcW w:type="dxa" w:w="700"/>
          </w:tcPr>
          <w:p>
            <w:r>
              <w:rPr>
                <w:b w:val="false"/>
                <w:bCs w:val="false"/>
              </w:rPr>
              <w:t xml:space="preserve">2</w:t>
            </w:r>
          </w:p>
        </w:tc>
      </w:tr>
      <w:tr>
        <w:tc>
          <w:tcPr>
            <w:tcW w:type="dxa" w:w="700"/>
          </w:tcPr>
          <w:p>
            <w:r>
              <w:rPr>
                <w:b w:val="false"/>
                <w:bCs w:val="false"/>
              </w:rPr>
              <w:t xml:space="preserve">R02</w:t>
            </w:r>
          </w:p>
        </w:tc>
        <w:tc>
          <w:tcPr>
            <w:tcW w:type="dxa" w:w="900"/>
          </w:tcPr>
          <w:p>
            <w:r>
              <w:rPr>
                <w:b w:val="false"/>
                <w:bCs w:val="false"/>
              </w:rPr>
              <w:t xml:space="preserve">3</w:t>
            </w:r>
          </w:p>
        </w:tc>
        <w:tc>
          <w:tcPr>
            <w:tcW w:type="dxa" w:w="900"/>
          </w:tcPr>
          <w:p>
            <w:r>
              <w:rPr>
                <w:b w:val="false"/>
                <w:bCs w:val="false"/>
              </w:rPr>
              <w:t xml:space="preserve">3</w:t>
            </w:r>
          </w:p>
        </w:tc>
        <w:tc>
          <w:tcPr>
            <w:tcW w:type="dxa" w:w="900"/>
          </w:tcPr>
          <w:p>
            <w:r>
              <w:rPr>
                <w:b w:val="false"/>
                <w:bCs w:val="false"/>
              </w:rPr>
              <w:t xml:space="preserve">9</w:t>
            </w:r>
          </w:p>
        </w:tc>
        <w:tc>
          <w:tcPr>
            <w:tcW w:type="dxa" w:w="3550"/>
          </w:tcPr>
          <w:p>
            <w:r>
              <w:rPr>
                <w:b w:val="false"/>
                <w:bCs w:val="false"/>
              </w:rPr>
              <w:t xml:space="preserve">Validation JSON Schema, rejet et tests négatifs</w:t>
            </w:r>
          </w:p>
        </w:tc>
        <w:tc>
          <w:tcPr>
            <w:tcW w:type="dxa" w:w="900"/>
          </w:tcPr>
          <w:p>
            <w:r>
              <w:rPr>
                <w:b w:val="false"/>
                <w:bCs w:val="false"/>
              </w:rPr>
              <w:t xml:space="preserve">1</w:t>
            </w:r>
          </w:p>
        </w:tc>
        <w:tc>
          <w:tcPr>
            <w:tcW w:type="dxa" w:w="900"/>
          </w:tcPr>
          <w:p>
            <w:r>
              <w:rPr>
                <w:b w:val="false"/>
                <w:bCs w:val="false"/>
              </w:rPr>
              <w:t xml:space="preserve">2</w:t>
            </w:r>
          </w:p>
        </w:tc>
        <w:tc>
          <w:tcPr>
            <w:tcW w:type="dxa" w:w="700"/>
          </w:tcPr>
          <w:p>
            <w:r>
              <w:rPr>
                <w:b w:val="false"/>
                <w:bCs w:val="false"/>
              </w:rPr>
              <w:t xml:space="preserve">2</w:t>
            </w:r>
          </w:p>
        </w:tc>
      </w:tr>
      <w:tr>
        <w:tc>
          <w:tcPr>
            <w:tcW w:type="dxa" w:w="700"/>
          </w:tcPr>
          <w:p>
            <w:r>
              <w:rPr>
                <w:b w:val="false"/>
                <w:bCs w:val="false"/>
              </w:rPr>
              <w:t xml:space="preserve">R03</w:t>
            </w:r>
          </w:p>
        </w:tc>
        <w:tc>
          <w:tcPr>
            <w:tcW w:type="dxa" w:w="900"/>
          </w:tcPr>
          <w:p>
            <w:r>
              <w:rPr>
                <w:b w:val="false"/>
                <w:bCs w:val="false"/>
              </w:rPr>
              <w:t xml:space="preserve">2</w:t>
            </w:r>
          </w:p>
        </w:tc>
        <w:tc>
          <w:tcPr>
            <w:tcW w:type="dxa" w:w="900"/>
          </w:tcPr>
          <w:p>
            <w:r>
              <w:rPr>
                <w:b w:val="false"/>
                <w:bCs w:val="false"/>
              </w:rPr>
              <w:t xml:space="preserve">3</w:t>
            </w:r>
          </w:p>
        </w:tc>
        <w:tc>
          <w:tcPr>
            <w:tcW w:type="dxa" w:w="900"/>
          </w:tcPr>
          <w:p>
            <w:r>
              <w:rPr>
                <w:b w:val="false"/>
                <w:bCs w:val="false"/>
              </w:rPr>
              <w:t xml:space="preserve">6</w:t>
            </w:r>
          </w:p>
        </w:tc>
        <w:tc>
          <w:tcPr>
            <w:tcW w:type="dxa" w:w="3550"/>
          </w:tcPr>
          <w:p>
            <w:r>
              <w:rPr>
                <w:b w:val="false"/>
                <w:bCs w:val="false"/>
              </w:rPr>
              <w:t xml:space="preserve">Validateur rendu 100% déterministe (aucun LLM) ; isolation testée par interface (TC-14)</w:t>
            </w:r>
          </w:p>
        </w:tc>
        <w:tc>
          <w:tcPr>
            <w:tcW w:type="dxa" w:w="900"/>
          </w:tcPr>
          <w:p>
            <w:r>
              <w:rPr>
                <w:b w:val="false"/>
                <w:bCs w:val="false"/>
              </w:rPr>
              <w:t xml:space="preserve">1</w:t>
            </w:r>
          </w:p>
        </w:tc>
        <w:tc>
          <w:tcPr>
            <w:tcW w:type="dxa" w:w="900"/>
          </w:tcPr>
          <w:p>
            <w:r>
              <w:rPr>
                <w:b w:val="false"/>
                <w:bCs w:val="false"/>
              </w:rPr>
              <w:t xml:space="preserve">2</w:t>
            </w:r>
          </w:p>
        </w:tc>
        <w:tc>
          <w:tcPr>
            <w:tcW w:type="dxa" w:w="700"/>
          </w:tcPr>
          <w:p>
            <w:r>
              <w:rPr>
                <w:b w:val="false"/>
                <w:bCs w:val="false"/>
              </w:rPr>
              <w:t xml:space="preserve">2</w:t>
            </w:r>
          </w:p>
        </w:tc>
      </w:tr>
    </w:tbl>
    <w:p>
      <w:pPr>
        <w:pStyle w:val="Heading1"/>
        <w:spacing w:before="300"/>
      </w:pPr>
      <w:r>
        <w:t xml:space="preserve">6. Colonnes minimales du registre</w:t>
      </w:r>
    </w:p>
    <w:p>
      <w:pPr>
        <w:pStyle w:val="ListParagraph"/>
        <w:numPr>
          <w:ilvl w:val="0"/>
          <w:numId w:val="1"/>
        </w:numPr>
        <w:spacing w:after="60"/>
      </w:pPr>
      <w:r>
        <w:t xml:space="preserve">Référence externe confirmant l'existence du risque.</w:t>
      </w:r>
    </w:p>
    <w:p>
      <w:pPr>
        <w:pStyle w:val="ListParagraph"/>
        <w:numPr>
          <w:ilvl w:val="0"/>
          <w:numId w:val="1"/>
        </w:numPr>
        <w:spacing w:after="60"/>
      </w:pPr>
      <w:r>
        <w:t xml:space="preserve">Justification de la probabilité et preuve associée.</w:t>
      </w:r>
    </w:p>
    <w:p>
      <w:pPr>
        <w:pStyle w:val="ListParagraph"/>
        <w:numPr>
          <w:ilvl w:val="0"/>
          <w:numId w:val="1"/>
        </w:numPr>
        <w:spacing w:after="60"/>
      </w:pPr>
      <w:r>
        <w:t xml:space="preserve">Justification de l'impact et conséquence exacte.</w:t>
      </w:r>
    </w:p>
    <w:p>
      <w:pPr>
        <w:pStyle w:val="ListParagraph"/>
        <w:numPr>
          <w:ilvl w:val="0"/>
          <w:numId w:val="1"/>
        </w:numPr>
        <w:spacing w:after="60"/>
      </w:pPr>
      <w:r>
        <w:t xml:space="preserve">Cotation inhérente et cotation résiduelle.</w:t>
      </w:r>
    </w:p>
    <w:p>
      <w:pPr>
        <w:pStyle w:val="ListParagraph"/>
        <w:numPr>
          <w:ilvl w:val="0"/>
          <w:numId w:val="1"/>
        </w:numPr>
        <w:spacing w:after="60"/>
      </w:pPr>
      <w:r>
        <w:t xml:space="preserve">Niveau de confiance, date et déclencheur de réévaluation.</w:t>
      </w:r>
    </w:p>
    <w:p>
      <w:pPr>
        <w:pStyle w:val="Heading1"/>
        <w:spacing w:before="300"/>
      </w:pPr>
      <w:r>
        <w:t xml:space="preserve">7. Références essentielles</w:t>
      </w:r>
    </w:p>
    <w:p>
      <w:pPr>
        <w:pStyle w:val="ListParagraph"/>
        <w:numPr>
          <w:ilvl w:val="0"/>
          <w:numId w:val="1"/>
        </w:numPr>
        <w:spacing w:after="60"/>
      </w:pPr>
      <w:r>
        <w:t xml:space="preserve">[1] NIST SP 800-30 Rev. 1 — Guide for Conducting Risk Assessments.</w:t>
      </w:r>
    </w:p>
    <w:p>
      <w:pPr>
        <w:pStyle w:val="ListParagraph"/>
        <w:numPr>
          <w:ilvl w:val="0"/>
          <w:numId w:val="1"/>
        </w:numPr>
        <w:spacing w:after="60"/>
      </w:pPr>
      <w:r>
        <w:t xml:space="preserve">[2] NIST IR 8286A Rev. 1 — Identifying and Estimating Cybersecurity Risk for ERM.</w:t>
      </w:r>
    </w:p>
    <w:p>
      <w:pPr>
        <w:pStyle w:val="ListParagraph"/>
        <w:numPr>
          <w:ilvl w:val="0"/>
          <w:numId w:val="1"/>
        </w:numPr>
        <w:spacing w:after="60"/>
      </w:pPr>
      <w:r>
        <w:t xml:space="preserve">[3] NIST AI 600-1 — Generative Artificial Intelligence Profile.</w:t>
      </w:r>
    </w:p>
    <w:p>
      <w:pPr>
        <w:pStyle w:val="ListParagraph"/>
        <w:numPr>
          <w:ilvl w:val="0"/>
          <w:numId w:val="1"/>
        </w:numPr>
        <w:spacing w:after="60"/>
      </w:pPr>
      <w:r>
        <w:t xml:space="preserve">[4] OWASP LLM05:2025 — Improper Output Handling.</w:t>
      </w:r>
    </w:p>
    <w:p>
      <w:pPr>
        <w:pStyle w:val="ListParagraph"/>
        <w:numPr>
          <w:ilvl w:val="0"/>
          <w:numId w:val="1"/>
        </w:numPr>
        <w:spacing w:after="60"/>
      </w:pPr>
      <w:r>
        <w:t xml:space="preserve">[5] OWASP LLM02:2025 — Sensitive Information Disclosure.</w:t>
      </w:r>
    </w:p>
    <w:p>
      <w:pPr>
        <w:pStyle w:val="ListParagraph"/>
        <w:numPr>
          <w:ilvl w:val="0"/>
          <w:numId w:val="1"/>
        </w:numPr>
        <w:spacing w:after="60"/>
      </w:pPr>
      <w:r>
        <w:t xml:space="preserve">[6] PMI — Requirements and improved project performance.</w:t>
      </w:r>
    </w:p>
    <w:p>
      <w:pPr>
        <w:pStyle w:val="ListParagraph"/>
        <w:numPr>
          <w:ilvl w:val="0"/>
          <w:numId w:val="1"/>
        </w:numPr>
        <w:spacing w:after="60"/>
      </w:pPr>
      <w:r>
        <w:t xml:space="preserve">[7] NIST SP 800-53 Rev. 5 — Security and Privacy Controls.</w:t>
      </w:r>
    </w:p>
    <w:p/>
    <w:p>
      <w:pPr>
        <w:spacing w:after="120"/>
      </w:pPr>
      <w:r>
        <w:rPr>
          <w:b/>
          <w:bCs/>
        </w:rPr>
        <w:t xml:space="preserve">Points traités dans cette v2 : R03 reformulé et recoté pour refléter un Validateur 100% déterministe ; R08 supprimé, Copilot Studio n'appartenant plus à l'architecture.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2026-08-03T21:54:21.559Z</dcterms:created>
  <dcterms:modified xsi:type="dcterms:W3CDTF">2026-08-03T21:54:21.561Z</dcterms:modified>
</cp:coreProperties>
</file>

<file path=docProps/custom.xml><?xml version="1.0" encoding="utf-8"?>
<Properties xmlns="http://schemas.openxmlformats.org/officeDocument/2006/custom-properties" xmlns:vt="http://schemas.openxmlformats.org/officeDocument/2006/docPropsVTypes"/>
</file>