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ptos Display" w:cs="Aptos Display" w:eastAsia="Aptos Display" w:hAnsi="Aptos Display"/>
          <w:b/>
          <w:bCs/>
          <w:color w:val="1F3752"/>
          <w:sz w:val="56"/>
          <w:szCs w:val="56"/>
        </w:rPr>
        <w:t xml:space="preserve">CYBERTRUST AGENTS</w:t>
      </w:r>
    </w:p>
    <w:p>
      <w:pPr>
        <w:jc w:val="center"/>
      </w:pPr>
      <w:r>
        <w:rPr>
          <w:rFonts w:ascii="Cambria" w:cs="Cambria" w:eastAsia="Cambria" w:hAnsi="Cambria"/>
          <w:b/>
          <w:bCs/>
          <w:color w:val="365F91"/>
          <w:sz w:val="32"/>
          <w:szCs w:val="32"/>
        </w:rPr>
        <w:t xml:space="preserve">Pilote SecOps multi-LLM sécurisé destiné au CISO</w:t>
      </w:r>
    </w:p>
    <w:p>
      <w:pPr>
        <w:spacing w:after="1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F3752"/>
          <w:sz w:val="40"/>
          <w:szCs w:val="40"/>
        </w:rPr>
        <w:t xml:space="preserve">SUITE DE TESTS AUTOMATISÉS</w:t>
      </w:r>
    </w:p>
    <w:p>
      <w:pPr>
        <w:jc w:val="center"/>
      </w:pPr>
      <w:r>
        <w:rPr>
          <w:rFonts w:ascii="Cambria" w:cs="Cambria" w:eastAsia="Cambria" w:hAnsi="Cambria"/>
          <w:b w:val="false"/>
          <w:bCs w:val="false"/>
          <w:color w:val="595959"/>
          <w:sz w:val="24"/>
          <w:szCs w:val="24"/>
        </w:rPr>
        <w:t xml:space="preserve">Détail des 9 fichiers de test (47 tests) et commandes d'exécution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F3752"/>
          <w:sz w:val="22"/>
          <w:szCs w:val="22"/>
        </w:rPr>
        <w:t xml:space="preserve">Préparé par</w:t>
      </w:r>
    </w:p>
    <w:p>
      <w:pPr>
        <w:jc w:val="center"/>
      </w:pPr>
      <w:r>
        <w:rPr>
          <w:rFonts w:ascii="Cambria" w:cs="Cambria" w:eastAsia="Cambria" w:hAnsi="Cambria"/>
          <w:b/>
          <w:bCs/>
          <w:color w:val="000000"/>
          <w:sz w:val="30"/>
          <w:szCs w:val="30"/>
        </w:rPr>
        <w:t xml:space="preserve">Ihab CHAHIDI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Résumé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La suite de tests automatisée couvre 47 tests répartis sur 9 fichiers, exécutables sans accès à un LLM externe. Elle couvre la grille de tests de la Semaine 1 (TC-01 à TC-20), l'isolation structurelle des rôles, la traçabilité de session, la gestion des erreurs techniques, le moteur de scoring, l'injection intégrée au contenu d'une Evidence, les garde-fous d'intégrité de l'orchestrateur, et l'authentification du tableau de bord.</w:t>
      </w:r>
    </w:p>
    <w:p>
      <w:pPr>
        <w:spacing w:after="100"/>
      </w:pPr>
    </w:p>
    <w:p>
      <w:pPr>
        <w:pStyle w:val="Heading1"/>
      </w:pPr>
      <w:r>
        <w:rPr>
          <w:rFonts w:ascii="Aptos Display" w:cs="Aptos Display" w:eastAsia="Aptos Display" w:hAnsi="Aptos Display"/>
          <w:b/>
          <w:bCs/>
          <w:color w:val="0F4761"/>
          <w:sz w:val="40"/>
          <w:szCs w:val="40"/>
        </w:rPr>
        <w:t xml:space="preserve">Fichiers de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3200"/>
        <w:gridCol w:w="366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Nb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Couverture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test_pipeline.py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-m pytest tests/test_pipeline.py -v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Pipeline nominal complet, Claim multi-Evidence, routage MEDIUM-&gt;information et HIGH/CRITICAL-&gt;decision CISO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test_negative.py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-m pytest tests/test_negative.py -v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Grille TC-04 a TC-17 : schema malforme, evidence_ids invalides, contradictions, preuves insuffisantes, injection, exfiltration, endpoint non autorise, champ supplementaire, version de schema, violation de propriete du score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test_isolation.py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-m pytest tests/test_isolation.py -v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Isolation structurelle Verificateur/Validateur : les signatures d'interface empechent toute fuite de contexte entre roles (TC-14)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test_traceability.py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-m pytest tests/test_traceability.py -v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session_id/correlation_id partages par tous les objets ; ordre des transitions journalisees (TC-13)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test_technical_failures.py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-m pytest tests/test_technical_failures.py -v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Timeout LLM -&gt; TECHNICAL_FAILURE, jamais un blocage de securite (TC-18) ; redaction des secrets dans le journal (TC-19)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test_scoring.py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-m pytest tests/test_scoring.py -v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Moteur MCPScore : deterministe/reproductible, borne [0,100], seuils de classification de risque corrects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test_evidence_injection.py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-m pytest tests/test_evidence_injection.py -v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Injection integree au contenu d'une Evidence bloquee avant le Generateur (pas seulement au niveau du schema)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test_orchestrator_integrity.py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-m pytest tests/test_orchestrator_integrity.py -v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Garde-fous d'integrite referentielle + reproduction de l'incident reel (CISO_APPROVAL_REQUIRED sur un Validateur defaillant)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test_web_auth.py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-m pytest tests/test_web_auth.py -v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Authentification du tableau de bord : connexion/deconnexion, expiration de session, protection CSRF, verrouillage anti-brute-force, controle d'acces par role</w:t>
            </w:r>
          </w:p>
        </w:tc>
      </w:tr>
    </w:tbl>
    <w:p>
      <w:pPr>
        <w:pStyle w:val="Heading1"/>
      </w:pPr>
      <w:r>
        <w:rPr>
          <w:rFonts w:ascii="Aptos Display" w:cs="Aptos Display" w:eastAsia="Aptos Display" w:hAnsi="Aptos Display"/>
          <w:b/>
          <w:bCs/>
          <w:color w:val="0F4761"/>
          <w:sz w:val="40"/>
          <w:szCs w:val="40"/>
        </w:rPr>
        <w:t xml:space="preserve">Autres commandes utiles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Objectif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752" w:color="auto" w:val="clear"/>
            <w:vAlign w:val="center"/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Suite complete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-m pytest -v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Execute les 47 tests, affiche chaque test individuellement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Suite complete (resume)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-m pytest -q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Execute les 47 tests, affiche seulement le resultat global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Catalogue Evidence uniquement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py tools/validate_evidence.py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vAlign w:val="center"/>
          </w:tcPr>
          <w:p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18"/>
                <w:szCs w:val="18"/>
              </w:rPr>
              <w:t xml:space="preserve">10/10 Evidence valides PASS, 3/3 Evidence negatives echouent comme attendu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2026-07-24T14:51:12.338Z</dcterms:created>
  <dcterms:modified xsi:type="dcterms:W3CDTF">2026-07-24T14:51:12.339Z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