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ptos Display" w:cs="Aptos Display" w:eastAsia="Aptos Display" w:hAnsi="Aptos Display"/>
          <w:b/>
          <w:bCs/>
          <w:color w:val="1F3752"/>
          <w:sz w:val="56"/>
          <w:szCs w:val="56"/>
        </w:rPr>
        <w:t xml:space="preserve">CYBERTRUST AGENTS</w:t>
      </w:r>
    </w:p>
    <w:p>
      <w:pPr>
        <w:jc w:val="center"/>
      </w:pPr>
      <w:r>
        <w:rPr>
          <w:rFonts w:ascii="Cambria" w:cs="Cambria" w:eastAsia="Cambria" w:hAnsi="Cambria"/>
          <w:b/>
          <w:bCs/>
          <w:color w:val="365F91"/>
          <w:sz w:val="32"/>
          <w:szCs w:val="32"/>
        </w:rPr>
        <w:t xml:space="preserve">Pilote SecOps multi-LLM sécurisé destiné au CISO</w:t>
      </w:r>
    </w:p>
    <w:p>
      <w:pPr>
        <w:spacing w:after="100"/>
      </w:pPr>
    </w:p>
    <w:p>
      <w:pPr>
        <w:jc w:val="center"/>
      </w:pPr>
      <w:r>
        <w:rPr>
          <w:rFonts w:ascii="Cambria" w:cs="Cambria" w:eastAsia="Cambria" w:hAnsi="Cambria"/>
          <w:b/>
          <w:bCs/>
          <w:color w:val="1F3752"/>
          <w:sz w:val="44"/>
          <w:szCs w:val="44"/>
        </w:rPr>
        <w:t xml:space="preserve">LIVRABLES DE LA SEMAINE 5</w:t>
      </w:r>
    </w:p>
    <w:p>
      <w:pPr>
        <w:jc w:val="center"/>
      </w:pPr>
      <w:r>
        <w:rPr>
          <w:rFonts w:ascii="Cambria" w:cs="Cambria" w:eastAsia="Cambria" w:hAnsi="Cambria"/>
          <w:b w:val="false"/>
          <w:bCs w:val="false"/>
          <w:color w:val="595959"/>
          <w:sz w:val="24"/>
          <w:szCs w:val="24"/>
        </w:rPr>
        <w:t xml:space="preserve">Calibration, Validation CISO &amp; Pilote — MVP, guide CISO, guide d'exploitation, indicateurs de qualité, backlog d'industrialisation</w:t>
      </w:r>
    </w:p>
    <w:p>
      <w:pPr>
        <w:spacing w:after="100"/>
      </w:pPr>
    </w:p>
    <w:p>
      <w:pPr>
        <w:spacing w:after="100"/>
      </w:pPr>
    </w:p>
    <w:p>
      <w:pPr>
        <w:spacing w:after="100"/>
      </w:pPr>
    </w:p>
    <w:p>
      <w:pPr>
        <w:spacing w:after="100"/>
      </w:pPr>
    </w:p>
    <w:p>
      <w:pPr>
        <w:spacing w:after="100"/>
      </w:pPr>
    </w:p>
    <w:p>
      <w:pPr>
        <w:spacing w:after="100"/>
      </w:pPr>
    </w:p>
    <w:p>
      <w:pPr>
        <w:jc w:val="center"/>
      </w:pPr>
      <w:r>
        <w:rPr>
          <w:rFonts w:ascii="Cambria" w:cs="Cambria" w:eastAsia="Cambria" w:hAnsi="Cambria"/>
          <w:b/>
          <w:bCs/>
          <w:color w:val="1F3752"/>
          <w:sz w:val="22"/>
          <w:szCs w:val="22"/>
        </w:rPr>
        <w:t xml:space="preserve">Préparé par</w:t>
      </w:r>
    </w:p>
    <w:p>
      <w:pPr>
        <w:jc w:val="center"/>
      </w:pPr>
      <w:r>
        <w:rPr>
          <w:rFonts w:ascii="Cambria" w:cs="Cambria" w:eastAsia="Cambria" w:hAnsi="Cambria"/>
          <w:b/>
          <w:bCs/>
          <w:color w:val="000000"/>
          <w:sz w:val="30"/>
          <w:szCs w:val="30"/>
        </w:rPr>
        <w:t xml:space="preserve">Ihab CHAHIDI</w:t>
      </w:r>
    </w:p>
    <w:p>
      <w:r>
        <w:br w:type="page"/>
      </w:r>
    </w:p>
    <w:p>
      <w:pPr>
        <w:spacing w:after="120" w:before="200"/>
      </w:pPr>
      <w:r>
        <w:rPr>
          <w:rFonts w:ascii="Calibri" w:cs="Calibri" w:eastAsia="Calibri" w:hAnsi="Calibri"/>
          <w:b/>
          <w:bCs/>
          <w:color w:val="365F91"/>
          <w:sz w:val="28"/>
          <w:szCs w:val="28"/>
        </w:rPr>
        <w:t xml:space="preserve">Résumé exécutif</w:t>
      </w:r>
    </w:p>
    <w:p>
      <w:pPr>
        <w:spacing w:after="120"/>
      </w:pPr>
      <w:r>
        <w:rPr>
          <w:rFonts w:ascii="Aptos" w:cs="Aptos" w:eastAsia="Aptos" w:hAnsi="Aptos"/>
          <w:sz w:val="22"/>
          <w:szCs w:val="22"/>
        </w:rPr>
        <w:t xml:space="preserve">La Semaine 5 clôture le pilote CyberTrust Agents. L'objectif SMART, temporel, est de finaliser la recette, la documentation et le pilote à la fin de la semaine, sans automatiser aucune décision ni remédiation sensible. Cette semaine calibre les seuils du MCPScore, confirme le routage entre information et décision CISO, livre le guide CISO et le guide d'exploitation, mesure les indicateurs de qualité du pilote sur la base des tests réels des Semaines 3 et 4, et documente le backlog d'industrialisation.</w:t>
      </w:r>
    </w:p>
    <w:p>
      <w:pPr>
        <w:spacing w:after="120"/>
      </w:pPr>
      <w:r>
        <w:rPr>
          <w:rFonts w:ascii="Aptos" w:cs="Aptos" w:eastAsia="Aptos" w:hAnsi="Aptos"/>
          <w:sz w:val="22"/>
          <w:szCs w:val="22"/>
        </w:rPr>
        <w:t xml:space="preserve">Le procès-verbal de recette figure en fin de document : il constitue le support de validation du CISO comme seul utilisateur pilote, conformément à la décision de gouvernance de la Semaine 1. Sa signature reste une action distincte, effectuée par le CISO lui-même — elle n'est ni automatisée ni présumée dans ce document.</w:t>
      </w:r>
    </w:p>
    <w:p>
      <w:pPr>
        <w:spacing w:after="100"/>
      </w:pPr>
    </w:p>
    <w:p>
      <w:r>
        <w:rPr>
          <w:i/>
        </w:rPr>
        <w:t>Note de mise à jour — v2 (07/08/2026) : depuis la rédaction de ce document, la chaîne Générateur a été implémentée et testée en conditions réelles (Foundation-Sec-8B via llama.cpp + RAG ChromaDB, 13 scénarios ; voir reports/CyberTrust_Agents_Benchmark_Generateur.docx et CyberTrust_Agents_Baseline_Attendu_vs_Resultat.docx pour la comparaison honnête entre Foundation-Sec-8B, Llama 3.1 et Qwen 2.5 en tant que Générateur et Vérificateur). Le mode 'llama/real' pour le Générateur et le Vérificateur n'a pas été retenu en production et a été archivé (legacy/) ; seul le mode mock reste actif pour ces deux rôles. Les corrections correspondantes figurent dans les tableaux 'Guide d'exploitation' et 'Backlog d'industrialisation' ci-dessous. Le document original (Semaine 5) n'a pas été modifié.</w:t>
      </w:r>
    </w:p>
    <w:p>
      <w:pPr>
        <w:pStyle w:val="Heading1"/>
      </w:pPr>
      <w:r>
        <w:rPr>
          <w:rFonts w:ascii="Aptos Display" w:cs="Aptos Display" w:eastAsia="Aptos Display" w:hAnsi="Aptos Display"/>
          <w:b/>
          <w:bCs/>
          <w:color w:val="0F4761"/>
          <w:sz w:val="40"/>
          <w:szCs w:val="40"/>
        </w:rPr>
        <w:t xml:space="preserve">L1 — Calibration du MCPScore</w:t>
      </w:r>
    </w:p>
    <w:p>
      <w:pPr>
        <w:pStyle w:val="Heading2"/>
      </w:pPr>
      <w:r>
        <w:rPr>
          <w:rFonts w:ascii="Aptos Display" w:cs="Aptos Display" w:eastAsia="Aptos Display" w:hAnsi="Aptos Display"/>
          <w:b/>
          <w:bCs/>
          <w:color w:val="0F4761"/>
          <w:sz w:val="32"/>
          <w:szCs w:val="32"/>
        </w:rPr>
        <w:t xml:space="preserve">1. Seuils actuels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Plage de score</w:t>
            </w:r>
          </w:p>
        </w:tc>
        <w:tc>
          <w:tcPr>
            <w:tcW w:type="dxa" w:w="18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Classe</w:t>
            </w:r>
          </w:p>
        </w:tc>
        <w:tc>
          <w:tcPr>
            <w:tcW w:type="dxa" w:w="57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Traitement</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0 à 29</w:t>
            </w:r>
          </w:p>
        </w:tc>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LOW</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Information, aucune décision CISO requise</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30 à 59</w:t>
            </w:r>
          </w:p>
        </w:tc>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MEDIUM</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Remarque / point de vigilance dans la synthèse</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60 à 79</w:t>
            </w:r>
          </w:p>
        </w:tc>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HIGH</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Décision CISO requise</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80 à 100</w:t>
            </w:r>
          </w:p>
        </w:tc>
        <w:tc>
          <w:tcPr>
            <w:tcW w:type="dxa" w:w="18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CRITICAL</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Décision CISO urgente requise</w:t>
            </w:r>
          </w:p>
        </w:tc>
      </w:tr>
    </w:tbl>
    <w:p>
      <w:pPr>
        <w:spacing w:after="100"/>
      </w:pPr>
    </w:p>
    <w:p>
      <w:pPr>
        <w:pStyle w:val="Heading2"/>
      </w:pPr>
      <w:r>
        <w:rPr>
          <w:rFonts w:ascii="Aptos Display" w:cs="Aptos Display" w:eastAsia="Aptos Display" w:hAnsi="Aptos Display"/>
          <w:b/>
          <w:bCs/>
          <w:color w:val="0F4761"/>
          <w:sz w:val="32"/>
          <w:szCs w:val="32"/>
        </w:rPr>
        <w:t xml:space="preserve">2. Enseignements de la matrice d'évaluation (Semaine 4)</w:t>
      </w:r>
    </w:p>
    <w:p>
      <w:pPr>
        <w:spacing w:after="120"/>
      </w:pPr>
      <w:r>
        <w:rPr>
          <w:rFonts w:ascii="Aptos" w:cs="Aptos" w:eastAsia="Aptos" w:hAnsi="Aptos"/>
          <w:sz w:val="22"/>
          <w:szCs w:val="22"/>
        </w:rPr>
        <w:t xml:space="preserve">Sur les huit scénarios comparatifs, les écarts observés entre le mode réel et le mode déterministe proviennent de la qualité du raisonnement des modèles LLM (statut de vérification mal classé, non-détection d'un champ absent), jamais d'un défaut du barème de scoring lui-même : le moteur MCPScore a produit, dans tous les cas, une valeur et une classe de risque cohérentes avec les facteurs qui lui ont été transmis.</w:t>
      </w:r>
    </w:p>
    <w:p>
      <w:pPr>
        <w:pStyle w:val="Heading2"/>
      </w:pPr>
      <w:r>
        <w:rPr>
          <w:rFonts w:ascii="Aptos Display" w:cs="Aptos Display" w:eastAsia="Aptos Display" w:hAnsi="Aptos Display"/>
          <w:b/>
          <w:bCs/>
          <w:color w:val="0F4761"/>
          <w:sz w:val="32"/>
          <w:szCs w:val="32"/>
        </w:rPr>
        <w:t xml:space="preserve">3. Recommandation</w:t>
      </w:r>
    </w:p>
    <w:p>
      <w:pPr>
        <w:spacing w:after="120"/>
      </w:pPr>
      <w:r>
        <w:rPr>
          <w:rFonts w:ascii="Aptos" w:cs="Aptos" w:eastAsia="Aptos" w:hAnsi="Aptos"/>
          <w:b/>
          <w:bCs/>
          <w:color w:val="1F3752"/>
          <w:sz w:val="22"/>
          <w:szCs w:val="22"/>
        </w:rPr>
        <w:t xml:space="preserve">Aucun changement des seuils n'est recommandé à ce stade. La priorité pour la suite du pilote est d'améliorer la fiabilité du Vérificateur (via le prompt ou un modèle plus capable), et non d'ajuster le barème pour compenser des erreurs de classification en amont. Les seuils restent sujets à calibration continue une fois un usage réel du CISO observé (voir backlog).</w:t>
      </w:r>
    </w:p>
    <w:p>
      <w:pPr>
        <w:pStyle w:val="Heading1"/>
      </w:pPr>
      <w:r>
        <w:rPr>
          <w:rFonts w:ascii="Aptos Display" w:cs="Aptos Display" w:eastAsia="Aptos Display" w:hAnsi="Aptos Display"/>
          <w:b/>
          <w:bCs/>
          <w:color w:val="0F4761"/>
          <w:sz w:val="40"/>
          <w:szCs w:val="40"/>
        </w:rPr>
        <w:t xml:space="preserve">L2 — Routage de la synthèse CISO</w:t>
      </w:r>
    </w:p>
    <w:p>
      <w:pPr>
        <w:spacing w:after="120"/>
      </w:pPr>
      <w:r>
        <w:rPr>
          <w:rFonts w:ascii="Aptos" w:cs="Aptos" w:eastAsia="Aptos" w:hAnsi="Aptos"/>
          <w:sz w:val="22"/>
          <w:szCs w:val="22"/>
        </w:rPr>
        <w:t xml:space="preserve">Les dossiers classés LOW et MEDIUM sont intégrés à la synthèse comme information ou remarque (READY_FOR_CISO_INFORMATION) ; les dossiers HIGH et CRITICAL sont présentés au CISO pour décision (READY_FOR_CISO_DECISION). Un dossier REJECTED ou INSUFFICIENT_EVIDENCE est clos sans décision CISO. Ce comportement est vérifié par test automatisé (TC-03, TC-20) et confirmé sur les scénarios réels des Semaines 3 et 4 : aucun dossier à risque HIGH ou CRITICAL n'a atteint l'état COMPLETED sans que requires_ciso_approval soit positionné à true.</w:t>
      </w:r>
    </w:p>
    <w:p>
      <w:pPr>
        <w:pStyle w:val="Heading1"/>
      </w:pPr>
      <w:r>
        <w:rPr>
          <w:rFonts w:ascii="Aptos Display" w:cs="Aptos Display" w:eastAsia="Aptos Display" w:hAnsi="Aptos Display"/>
          <w:b/>
          <w:bCs/>
          <w:color w:val="0F4761"/>
          <w:sz w:val="40"/>
          <w:szCs w:val="40"/>
        </w:rPr>
        <w:t xml:space="preserve">L3 — Guide CISO</w:t>
      </w:r>
    </w:p>
    <w:p>
      <w:pPr>
        <w:spacing w:after="120"/>
      </w:pPr>
      <w:r>
        <w:rPr>
          <w:rFonts w:ascii="Aptos" w:cs="Aptos" w:eastAsia="Aptos" w:hAnsi="Aptos"/>
          <w:sz w:val="22"/>
          <w:szCs w:val="22"/>
        </w:rPr>
        <w:t xml:space="preserve">Étapes d'utilisation du tableau de bord MCP pour le CISO ou son représentant désigné.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Étape</w:t>
            </w:r>
          </w:p>
        </w:tc>
        <w:tc>
          <w:tcPr>
            <w:tcW w:type="dxa" w:w="69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Description</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 Connexion</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Ouvrir le tableau de bord (URL HTTPS locale), saisir l'identifiant et le mot de passe fournis. La session expire après 30 minutes d'inactivité.</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2. Sélection des Evidence</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Rechercher, filtrer et cocher une ou plusieurs Evidence dans le catalogue. Le compteur « Evidence sélectionnées » se met à jour en temps réel.</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3. Formulation de la requête</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Saisir la question à analyser, ou choisir l'un des trois exemples proposés.</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4. Choix du mode d'exécution</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Mock (résultat immédiat, heuristiques déterministes) ou Live (modèle réel, jusqu'à 1 à 2 minutes).</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5. Lancement et confirmation</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Le bouton « Lancer l'analyse MCP » affiche un résumé de la requête à confirmer avant l'exécution effective.</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6. Lecture du résultat</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Synthèse exécutive, statut du Vérificateur, MCPScore avec détail des facteurs, décision du Validateur, et traitement CISO recommandé (information ou décision).</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7. Décision du CISO</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Boutons APPROVE / REJECT / REQUEST_MORE_EVIDENCE / DEFER — action explicite et distincte, jamais automatique.</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8. Consultation du journal</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Le journal d'audit de la session liste chaque transition, avec horodatage, rôle et résultat.</w:t>
            </w:r>
          </w:p>
        </w:tc>
      </w:tr>
    </w:tbl>
    <w:p>
      <w:pPr>
        <w:pStyle w:val="Heading1"/>
      </w:pPr>
      <w:r>
        <w:rPr>
          <w:rFonts w:ascii="Aptos Display" w:cs="Aptos Display" w:eastAsia="Aptos Display" w:hAnsi="Aptos Display"/>
          <w:b/>
          <w:bCs/>
          <w:color w:val="0F4761"/>
          <w:sz w:val="40"/>
          <w:szCs w:val="40"/>
        </w:rPr>
        <w:t xml:space="preserve">L4 — Guide d'exploitation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Rubrique</w:t>
            </w:r>
          </w:p>
        </w:tc>
        <w:tc>
          <w:tcPr>
            <w:tcW w:type="dxa" w:w="69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Détail</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Démarrage du serveur</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python -m uvicorn web.backend:app --port 8000 --ssl-keyfile web/certs/localhost.key --ssl-certfile web/certs/localhost.crt --reload</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Configuration des comptes</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Variables d'environnement dans .env (CISO_DEV_USERNAME/PASSWORD, DELEGATE_DEV_USERNAME/PASSWORD) — jamais commitées, jamais en clair dans le code</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Choix du mode LLM</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Variable MCP_LLM_MODE : mock (déterministe) est le seul mode implémenté pour Générateur et Vérificateur. Le Générateur réel est Foundation-Sec-8B servi via llama.cpp (Docker), interrogé par la chaîne RAG (mcp_server/rag). Le Validateur supporte mock (MockValidator) ou llama (PolicyValidator — déterministe lui aussi, aucun appel LLM malgré le nom hérité).</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Prérequis mode llama</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S'applique uniquement au Validateur (PolicyValidator, déterministe — pas de modèle à charger). Pour le Générateur réel, prérequis : conteneur llama-generator (llama.cpp) démarré et modèle Foundation-Sec-8B-Instruct.Q4_K_M.gguf chargé (voir docker-stack.yml).</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Supervision</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Journal d'audit JSONL append-only (mcp_server/journal_*.jsonl), un fichier par mode d'exécution</w:t>
            </w:r>
          </w:p>
        </w:tc>
      </w:tr>
      <w:tr>
        <w:tc>
          <w:tcPr>
            <w:tcW w:type="dxa" w:w="2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Limites connues</w:t>
            </w:r>
          </w:p>
        </w:tc>
        <w:tc>
          <w:tcPr>
            <w:tcW w:type="dxa" w:w="69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Latence élevée en mode llama (changement de modèle en mémoire entre rôles) ; sessions d'authentification en mémoire (perdues au redémarrage) ; certificat HTTPS auto-signé, développement uniquement</w:t>
            </w:r>
          </w:p>
        </w:tc>
      </w:tr>
    </w:tbl>
    <w:p>
      <w:pPr>
        <w:pStyle w:val="Heading1"/>
      </w:pPr>
      <w:r>
        <w:rPr>
          <w:rFonts w:ascii="Aptos Display" w:cs="Aptos Display" w:eastAsia="Aptos Display" w:hAnsi="Aptos Display"/>
          <w:b/>
          <w:bCs/>
          <w:color w:val="0F4761"/>
          <w:sz w:val="40"/>
          <w:szCs w:val="40"/>
        </w:rPr>
        <w:t xml:space="preserve">L5 — Indicateurs de qualité du pilote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Indicateur</w:t>
            </w:r>
          </w:p>
        </w:tc>
        <w:tc>
          <w:tcPr>
            <w:tcW w:type="dxa" w:w="57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Valeur mesurée</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Conformité JSON du catalogue Evidence</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10/10 Evidence valides conformes ; 3/3 Evidence négatives correctement rejetées</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Couverture de la grille de tests TC-01 à TC-20</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47/47 tests automatisés en succès (100 %)</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Correspondance mode réel vs moteur déterministe (8 scénarios)</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6/8 scénarios dans la même catégorie de routage CISO (75 %) ; 3/8 statuts de vérification strictement identiques</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Contournements du contrôle CISO observés</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0 — le garde-fou CISO_APPROVAL_REQUIRED est resté actif sur tous les tests, y compris l'incident réel documenté en Semaine 4</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Temps de traitement — mode mock</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Quasi instantané (&lt; 1 s par dossier)</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Temps de traitement — mode réel (llama3.1 / qwen2.5:7b-instruct)</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En moyenne 100 s par dossier (80 à 141 s selon le scénario), lié au changement de modèle chargé en mémoire entre rôles</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Anomalies ouvertes au registre</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5 recensées (Semaine 4), 0 de sévérité élevée non maîtrisée</w:t>
            </w:r>
          </w:p>
        </w:tc>
      </w:tr>
    </w:tbl>
    <w:p>
      <w:pPr>
        <w:pStyle w:val="Heading1"/>
      </w:pPr>
      <w:r>
        <w:rPr>
          <w:rFonts w:ascii="Aptos Display" w:cs="Aptos Display" w:eastAsia="Aptos Display" w:hAnsi="Aptos Display"/>
          <w:b/>
          <w:bCs/>
          <w:color w:val="0F4761"/>
          <w:sz w:val="40"/>
          <w:szCs w:val="40"/>
        </w:rPr>
        <w:t xml:space="preserve">L6 — Procès-verbal de recette (pilote)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bottom w:val="single" w:color="D9E2F3" w:sz="4"/>
            </w:tcBorders>
            <w:vAlign w:val="center"/>
          </w:tcPr>
          <w:p>
            <w:r>
              <w:rPr>
                <w:rFonts w:ascii="Cambria" w:cs="Cambria" w:eastAsia="Cambria" w:hAnsi="Cambria"/>
                <w:b/>
                <w:bCs/>
                <w:color w:val="1F3752"/>
                <w:sz w:val="21"/>
                <w:szCs w:val="21"/>
              </w:rPr>
              <w:t xml:space="preserve">Périmètre testé</w:t>
            </w:r>
          </w:p>
        </w:tc>
        <w:tc>
          <w:tcPr>
            <w:tcW w:type="dxa" w:w="6480"/>
            <w:tcBorders>
              <w:bottom w:val="single" w:color="D9E2F3" w:sz="4"/>
            </w:tcBorders>
            <w:vAlign w:val="center"/>
          </w:tcPr>
          <w:p>
            <w:r>
              <w:rPr>
                <w:rFonts w:ascii="Cambria" w:cs="Cambria" w:eastAsia="Cambria" w:hAnsi="Cambria"/>
                <w:color w:val="000000"/>
                <w:sz w:val="21"/>
                <w:szCs w:val="21"/>
              </w:rPr>
              <w:t xml:space="preserve">Catalogue de 10 Evidence fictives, 3 cas d'usage CISO, pipeline MCP complet (mock et modèles réels), tableau de bord web</w:t>
            </w:r>
          </w:p>
        </w:tc>
      </w:tr>
      <w:tr>
        <w:tc>
          <w:tcPr>
            <w:tcW w:type="dxa" w:w="2880"/>
            <w:tcBorders>
              <w:bottom w:val="single" w:color="D9E2F3" w:sz="4"/>
            </w:tcBorders>
            <w:vAlign w:val="center"/>
          </w:tcPr>
          <w:p>
            <w:r>
              <w:rPr>
                <w:rFonts w:ascii="Cambria" w:cs="Cambria" w:eastAsia="Cambria" w:hAnsi="Cambria"/>
                <w:b/>
                <w:bCs/>
                <w:color w:val="1F3752"/>
                <w:sz w:val="21"/>
                <w:szCs w:val="21"/>
              </w:rPr>
              <w:t xml:space="preserve">Résultat des tests</w:t>
            </w:r>
          </w:p>
        </w:tc>
        <w:tc>
          <w:tcPr>
            <w:tcW w:type="dxa" w:w="6480"/>
            <w:tcBorders>
              <w:bottom w:val="single" w:color="D9E2F3" w:sz="4"/>
            </w:tcBorders>
            <w:vAlign w:val="center"/>
          </w:tcPr>
          <w:p>
            <w:r>
              <w:rPr>
                <w:rFonts w:ascii="Cambria" w:cs="Cambria" w:eastAsia="Cambria" w:hAnsi="Cambria"/>
                <w:color w:val="000000"/>
                <w:sz w:val="21"/>
                <w:szCs w:val="21"/>
              </w:rPr>
              <w:t xml:space="preserve">47/47 tests automatisés en succès ; 100 % des cas négatifs détectés ou bloqués ; 0 contournement du contrôle CISO</w:t>
            </w:r>
          </w:p>
        </w:tc>
      </w:tr>
      <w:tr>
        <w:tc>
          <w:tcPr>
            <w:tcW w:type="dxa" w:w="2880"/>
            <w:tcBorders>
              <w:bottom w:val="single" w:color="D9E2F3" w:sz="4"/>
            </w:tcBorders>
            <w:vAlign w:val="center"/>
          </w:tcPr>
          <w:p>
            <w:r>
              <w:rPr>
                <w:rFonts w:ascii="Cambria" w:cs="Cambria" w:eastAsia="Cambria" w:hAnsi="Cambria"/>
                <w:b/>
                <w:bCs/>
                <w:color w:val="1F3752"/>
                <w:sz w:val="21"/>
                <w:szCs w:val="21"/>
              </w:rPr>
              <w:t xml:space="preserve">Réserves</w:t>
            </w:r>
          </w:p>
        </w:tc>
        <w:tc>
          <w:tcPr>
            <w:tcW w:type="dxa" w:w="6480"/>
            <w:tcBorders>
              <w:bottom w:val="single" w:color="D9E2F3" w:sz="4"/>
            </w:tcBorders>
            <w:vAlign w:val="center"/>
          </w:tcPr>
          <w:p>
            <w:r>
              <w:rPr>
                <w:rFonts w:ascii="Cambria" w:cs="Cambria" w:eastAsia="Cambria" w:hAnsi="Cambria"/>
                <w:color w:val="000000"/>
                <w:sz w:val="21"/>
                <w:szCs w:val="21"/>
              </w:rPr>
              <w:t xml:space="preserve">Anomalies de raisonnement des modèles réels documentées au registre (Semaine 4), sans impact sur la sécurité du contrôle CISO</w:t>
            </w:r>
          </w:p>
        </w:tc>
      </w:tr>
      <w:tr>
        <w:tc>
          <w:tcPr>
            <w:tcW w:type="dxa" w:w="2880"/>
            <w:tcBorders>
              <w:bottom w:val="single" w:color="D9E2F3" w:sz="4"/>
            </w:tcBorders>
            <w:vAlign w:val="center"/>
          </w:tcPr>
          <w:p>
            <w:r>
              <w:rPr>
                <w:rFonts w:ascii="Cambria" w:cs="Cambria" w:eastAsia="Cambria" w:hAnsi="Cambria"/>
                <w:b/>
                <w:bCs/>
                <w:color w:val="1F3752"/>
                <w:sz w:val="21"/>
                <w:szCs w:val="21"/>
              </w:rPr>
              <w:t xml:space="preserve">Décision Go / No-Go</w:t>
            </w:r>
          </w:p>
        </w:tc>
        <w:tc>
          <w:tcPr>
            <w:tcW w:type="dxa" w:w="6480"/>
            <w:tcBorders>
              <w:bottom w:val="single" w:color="D9E2F3" w:sz="4"/>
            </w:tcBorders>
            <w:vAlign w:val="center"/>
          </w:tcPr>
          <w:p>
            <w:r>
              <w:rPr>
                <w:rFonts w:ascii="Cambria" w:cs="Cambria" w:eastAsia="Cambria" w:hAnsi="Cambria"/>
                <w:color w:val="000000"/>
                <w:sz w:val="21"/>
                <w:szCs w:val="21"/>
              </w:rPr>
              <w:t xml:space="preserve">À la charge du CISO, sur la base de ce dossier et des documents des Semaines 1 à 4</w:t>
            </w:r>
          </w:p>
        </w:tc>
      </w:tr>
    </w:tbl>
    <w:p>
      <w:pPr>
        <w:spacing w:after="100"/>
      </w:pPr>
    </w:p>
    <w:p>
      <w:pPr>
        <w:spacing w:after="120"/>
      </w:pPr>
      <w:r>
        <w:rPr>
          <w:rFonts w:ascii="Aptos" w:cs="Aptos" w:eastAsia="Aptos" w:hAnsi="Aptos"/>
          <w:b/>
          <w:bCs/>
          <w:color w:val="8A6400"/>
          <w:sz w:val="22"/>
          <w:szCs w:val="22"/>
        </w:rPr>
        <w:t xml:space="preserve">Statut : EN ATTENTE DE VALIDATION PAR LE CISO</w:t>
      </w:r>
    </w:p>
    <w:p>
      <w:pPr>
        <w:spacing w:after="100"/>
      </w:pPr>
    </w:p>
    <w:p>
      <w:pPr>
        <w:spacing w:after="120"/>
      </w:pPr>
      <w:r>
        <w:rPr>
          <w:rFonts w:ascii="Aptos" w:cs="Aptos" w:eastAsia="Aptos" w:hAnsi="Aptos"/>
          <w:sz w:val="22"/>
          <w:szCs w:val="22"/>
        </w:rPr>
        <w:t xml:space="preserve">Signature du CISO ou de son représentant désigné : _______________________     Date : _______________</w:t>
      </w:r>
    </w:p>
    <w:p>
      <w:pPr>
        <w:pStyle w:val="Heading1"/>
      </w:pPr>
      <w:r>
        <w:rPr>
          <w:rFonts w:ascii="Aptos Display" w:cs="Aptos Display" w:eastAsia="Aptos Display" w:hAnsi="Aptos Display"/>
          <w:b/>
          <w:bCs/>
          <w:color w:val="0F4761"/>
          <w:sz w:val="40"/>
          <w:szCs w:val="40"/>
        </w:rPr>
        <w:t xml:space="preserve">L7 — Backlog d'industrialisation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Item</w:t>
            </w:r>
          </w:p>
        </w:tc>
        <w:tc>
          <w:tcPr>
            <w:tcW w:type="dxa" w:w="63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Détail</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Passage à un LLM externe de production (au-delà de Foundation-Sec-8B local)</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Foundation-Sec-8B (llama.cpp, local) est intégré et testé (chaîne RAG + 13 scénarios) — reste en dehors du périmètre : accès à un fournisseur LLM externe managé pour un débit/une latence de production. mcp_server/llm_roles/real_stub.py a été archivé (legacy/) faute d'accès.</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Connecteur SharePoint réel</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Nettoyage et dédoublonnage de documents réels, hors périmètre du pilote (Evidence entièrement fictives)</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IAM avancé</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Fournisseur d'identité réel (SSO), rotation automatique des secrets, stockage de session persistant et distribué</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Environnement de sandbox</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Isolation renforcée au-delà de l'environnement de développement actuel</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Tests de sécurité automatisés (DAST)</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Les tests actuels sont manuels/automatisés au niveau applicatif ; un DAST complet reste à mettre en place</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Amélioration des prompts et modèles</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Réduire les anomalies du registre (Semaine 4) par un meilleur prompt engineering ou des modèles plus capables</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Certificat HTTPS de production</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Remplacer le certificat auto-signé local par un certificat émis par une autorité reconnue</w:t>
            </w:r>
          </w:p>
        </w:tc>
      </w:tr>
      <w:tr>
        <w:tc>
          <w:tcPr>
            <w:tcW w:type="dxa" w:w="3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Calibration continue des seuils MCPScore</w:t>
            </w:r>
          </w:p>
        </w:tc>
        <w:tc>
          <w:tcPr>
            <w:tcW w:type="dxa" w:w="6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Ajuster les seuils si l'usage réel du CISO révèle un déséquilibre entre charge de décision et pertinence des alertes</w:t>
            </w:r>
          </w:p>
        </w:tc>
      </w:tr>
    </w:tbl>
    <w:p>
      <w:pPr>
        <w:pStyle w:val="Heading1"/>
      </w:pPr>
      <w:r>
        <w:rPr>
          <w:rFonts w:ascii="Aptos Display" w:cs="Aptos Display" w:eastAsia="Aptos Display" w:hAnsi="Aptos Display"/>
          <w:b/>
          <w:bCs/>
          <w:color w:val="0F4761"/>
          <w:sz w:val="40"/>
          <w:szCs w:val="40"/>
        </w:rPr>
        <w:t xml:space="preserve">Critères de sortie de la Semaine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Critère</w:t>
            </w:r>
          </w:p>
        </w:tc>
        <w:tc>
          <w:tcPr>
            <w:tcW w:type="dxa" w:w="20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Statut</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Seuils de scoring calibrés et documentés</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Routage information (LOW/MEDIUM) vs décision (HIGH/CRITICAL) fonctionnel et testé</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MVP pilote livré et opérationnel (mode mock et mode réel)</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Guide CISO et guide d'exploitation rédigés</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Indicateurs de qualité du pilote mesurés</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Backlog d'industrialisation documenté</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Procès-verbal de recette signé par le CISO</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EN ATTENTE DE VALIDATION</w:t>
            </w:r>
          </w:p>
        </w:tc>
      </w:tr>
    </w:tbl>
    <w:p>
      <w:pPr>
        <w:spacing w:after="100"/>
      </w:pPr>
    </w:p>
    <w:p>
      <w:pPr>
        <w:spacing w:after="120"/>
      </w:pPr>
      <w:r>
        <w:rPr>
          <w:rFonts w:ascii="Aptos" w:cs="Aptos" w:eastAsia="Aptos" w:hAnsi="Aptos"/>
          <w:b/>
          <w:bCs/>
          <w:color w:val="1F3752"/>
          <w:sz w:val="22"/>
          <w:szCs w:val="22"/>
        </w:rPr>
        <w:t xml:space="preserve">Semaine 5 : MVP pilote livré, documentation complète, indicateurs de qualité mesurés. Le pilote CyberTrust Agents est prêt pour la recette et la validation Go/No-Go du CISO.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2026-07-24T10:04:16.433Z</dcterms:created>
  <dcterms:modified xsi:type="dcterms:W3CDTF">2026-07-24T10:04:16.434Z</dcterms:modified>
</cp:coreProperties>
</file>

<file path=docProps/custom.xml><?xml version="1.0" encoding="utf-8"?>
<Properties xmlns="http://schemas.openxmlformats.org/officeDocument/2006/custom-properties" xmlns:vt="http://schemas.openxmlformats.org/officeDocument/2006/docPropsVTypes"/>
</file>