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Speaker notes</w:t>
      </w:r>
    </w:p>
    <w:p>
      <w:pPr>
        <w:spacing w:after="300"/>
      </w:pPr>
      <w:r>
        <w:rPr>
          <w:rFonts w:ascii="Calibri" w:cs="Calibri" w:eastAsia="Calibri" w:hAnsi="Calibri"/>
          <w:i/>
          <w:iCs/>
          <w:color w:val="595959"/>
          <w:sz w:val="20"/>
          <w:szCs w:val="20"/>
        </w:rPr>
        <w:t xml:space="preserve">UW Productivity Dashboard — 20 minutes, in the running order. Bold lines are the ones to actually remember; the rest is here to read off the page if you need it.</w:t>
      </w:r>
    </w:p>
    <w:p>
      <w:pPr>
        <w:pBdr>
          <w:bottom w:val="single" w:color="C1571B" w:sz="6" w:space="4"/>
        </w:pBdr>
        <w:spacing w:after="40" w:before="300"/>
      </w:pPr>
      <w:r>
        <w:rPr>
          <w:rFonts w:ascii="Calibri" w:cs="Calibri" w:eastAsia="Calibri" w:hAnsi="Calibri"/>
          <w:b/>
          <w:bCs/>
          <w:color w:val="C1571B"/>
          <w:sz w:val="20"/>
          <w:szCs w:val="20"/>
        </w:rPr>
        <w:t xml:space="preserve">0:00–3:00  </w:t>
      </w:r>
      <w:r>
        <w:rPr>
          <w:rFonts w:ascii="Calibri" w:cs="Calibri" w:eastAsia="Calibri" w:hAnsi="Calibri"/>
          <w:b/>
          <w:bCs/>
          <w:color w:val="1F3864"/>
          <w:sz w:val="26"/>
          <w:szCs w:val="26"/>
        </w:rPr>
        <w:t xml:space="preserve">Open on control, not a number</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 won't open on a number. I'll open on control.</w:t>
      </w:r>
      <w:r>
        <w:rPr>
          <w:rFonts w:ascii="Calibri" w:cs="Calibri" w:eastAsia="Calibri" w:hAnsi="Calibri"/>
          <w:b w:val="false"/>
          <w:bCs w:val="false"/>
          <w:sz w:val="22"/>
          <w:szCs w:val="22"/>
        </w:rPr>
        <w:t xml:space="preserve"> The page loads on the default view — Jan to Aug 2026 against the same months last year — and I'll leave it sitting there for a beat before I touch anything. Then I'll click Period and show the quick picks: this year so far, the last twelve months, a full year, a single quarter, or my own custom months, with the date basis sitting in the same menu. I'll pick Q2, hit Apply, and let the whole page move. Then I'll add a filter — Line of Business, Cyber — and point at the chip that appears underneath, and remove it with its little cross. Last, I'll hit Copy Link and mention I'll drop that in the chat afterwards.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One toolbar, everything obeys it.</w:t>
      </w:r>
      <w:r>
        <w:rPr>
          <w:rFonts w:ascii="Calibri" w:cs="Calibri" w:eastAsia="Calibri" w:hAnsi="Calibri"/>
          <w:b w:val="false"/>
          <w:bCs w:val="false"/>
          <w:sz w:val="22"/>
          <w:szCs w:val="22"/>
        </w:rPr>
        <w:t xml:space="preserve"> Every figure, every chart, every underwriter row. There's no second place a filter hides. Nothing moves until I press Apply, so I can set three filters and only wait once. Whatever I pick lives in the address bar — this is a link, not a screenshot. Two filters sit greyed out — Product, and Role and Tenure — flag that those need files we don't have yet, and that I'll come back to it later.</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If asked — why open on the whole book?</w:t>
      </w:r>
      <w:r>
        <w:rPr>
          <w:rFonts w:ascii="Calibri" w:cs="Calibri" w:eastAsia="Calibri" w:hAnsi="Calibri"/>
          <w:b w:val="false"/>
          <w:bCs w:val="false"/>
          <w:sz w:val="22"/>
          <w:szCs w:val="22"/>
        </w:rPr>
        <w:t xml:space="preserve"> Per-person figures follow whatever's filtered; Matt's version opens on New and Open Market because that's what his LOB workbook reconciles to — one line of config if we ever want to match it.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If asked — two periods at once?</w:t>
      </w:r>
      <w:r>
        <w:rPr>
          <w:rFonts w:ascii="Calibri" w:cs="Calibri" w:eastAsia="Calibri" w:hAnsi="Calibri"/>
          <w:b w:val="false"/>
          <w:bCs w:val="false"/>
          <w:sz w:val="22"/>
          <w:szCs w:val="22"/>
        </w:rPr>
        <w:t xml:space="preserve"> Every figure already shows this period, the same months a year earlier, and the change between them — Trends gives a full 24 months if they want more.</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If asked — what's “date basis”?</w:t>
      </w:r>
      <w:r>
        <w:rPr>
          <w:rFonts w:ascii="Calibri" w:cs="Calibri" w:eastAsia="Calibri" w:hAnsi="Calibri"/>
          <w:b w:val="false"/>
          <w:bCs w:val="false"/>
          <w:sz w:val="22"/>
          <w:szCs w:val="22"/>
        </w:rPr>
        <w:t xml:space="preserve"> Whether a policy counts in the month cover started or the month it came in. I use inception for anything involving booked business — the only date both reports actually hold in common.</w:t>
      </w:r>
    </w:p>
    <w:p>
      <w:pPr>
        <w:pBdr>
          <w:bottom w:val="single" w:color="C1571B" w:sz="6" w:space="4"/>
        </w:pBdr>
        <w:spacing w:after="40" w:before="300"/>
      </w:pPr>
      <w:r>
        <w:rPr>
          <w:rFonts w:ascii="Calibri" w:cs="Calibri" w:eastAsia="Calibri" w:hAnsi="Calibri"/>
          <w:b/>
          <w:bCs/>
          <w:color w:val="C1571B"/>
          <w:sz w:val="20"/>
          <w:szCs w:val="20"/>
        </w:rPr>
        <w:t xml:space="preserve">3:00–5:00  </w:t>
      </w:r>
      <w:r>
        <w:rPr>
          <w:rFonts w:ascii="Calibri" w:cs="Calibri" w:eastAsia="Calibri" w:hAnsi="Calibri"/>
          <w:b/>
          <w:bCs/>
          <w:color w:val="1F3864"/>
          <w:sz w:val="26"/>
          <w:szCs w:val="26"/>
        </w:rPr>
        <w:t xml:space="preserve">The seven tabs, fast — no figures yet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Move quickly, don't stop to explain any figures.</w:t>
      </w:r>
      <w:r>
        <w:rPr>
          <w:rFonts w:ascii="Calibri" w:cs="Calibri" w:eastAsia="Calibri" w:hAnsi="Calibri"/>
          <w:b w:val="false"/>
          <w:bCs w:val="false"/>
          <w:sz w:val="22"/>
          <w:szCs w:val="22"/>
        </w:rPr>
        <w:t xml:space="preserve"> One tab per question the business actually asks:</w:t>
      </w:r>
    </w:p>
    <w:p>
      <w:pPr>
        <w:spacing w:after="120"/>
      </w:pPr>
      <w:r>
        <w:rPr>
          <w:rFonts w:ascii="Calibri" w:cs="Calibri" w:eastAsia="Calibri" w:hAnsi="Calibri"/>
          <w:b w:val="false"/>
          <w:bCs w:val="false"/>
          <w:sz w:val="22"/>
          <w:szCs w:val="22"/>
        </w:rPr>
        <w:t xml:space="preserve">Overview — where you are, what moved most, and why.</w:t>
      </w:r>
    </w:p>
    <w:p>
      <w:pPr>
        <w:spacing w:after="120"/>
      </w:pPr>
      <w:r>
        <w:rPr>
          <w:rFonts w:ascii="Calibri" w:cs="Calibri" w:eastAsia="Calibri" w:hAnsi="Calibri"/>
          <w:b w:val="false"/>
          <w:bCs w:val="false"/>
          <w:sz w:val="22"/>
          <w:szCs w:val="22"/>
        </w:rPr>
        <w:t xml:space="preserve">Funnel — how much came in, how much we priced, how much we won.</w:t>
      </w:r>
    </w:p>
    <w:p>
      <w:pPr>
        <w:spacing w:after="120"/>
      </w:pPr>
      <w:r>
        <w:rPr>
          <w:rFonts w:ascii="Calibri" w:cs="Calibri" w:eastAsia="Calibri" w:hAnsi="Calibri"/>
          <w:b w:val="false"/>
          <w:bCs w:val="false"/>
          <w:sz w:val="22"/>
          <w:szCs w:val="22"/>
        </w:rPr>
        <w:t xml:space="preserve">Book Quality — is the business we won any good, and are we charging enough for it.</w:t>
      </w:r>
    </w:p>
    <w:p>
      <w:pPr>
        <w:spacing w:after="120"/>
      </w:pPr>
      <w:r>
        <w:rPr>
          <w:rFonts w:ascii="Calibri" w:cs="Calibri" w:eastAsia="Calibri" w:hAnsi="Calibri"/>
          <w:b w:val="false"/>
          <w:bCs w:val="false"/>
          <w:sz w:val="22"/>
          <w:szCs w:val="22"/>
        </w:rPr>
        <w:t xml:space="preserve">What We Write — the kind of book it is: lead or follow, primary or excess, who's bringing it to us.</w:t>
      </w:r>
    </w:p>
    <w:p>
      <w:pPr>
        <w:spacing w:after="120"/>
      </w:pPr>
      <w:r>
        <w:rPr>
          <w:rFonts w:ascii="Calibri" w:cs="Calibri" w:eastAsia="Calibri" w:hAnsi="Calibri"/>
          <w:b w:val="false"/>
          <w:bCs w:val="false"/>
          <w:sz w:val="22"/>
          <w:szCs w:val="22"/>
        </w:rPr>
        <w:t xml:space="preserve">Productivity — how much business sits behind each underwriter.</w:t>
      </w:r>
    </w:p>
    <w:p>
      <w:pPr>
        <w:spacing w:after="120"/>
      </w:pPr>
      <w:r>
        <w:rPr>
          <w:rFonts w:ascii="Calibri" w:cs="Calibri" w:eastAsia="Calibri" w:hAnsi="Calibri"/>
          <w:b w:val="false"/>
          <w:bCs w:val="false"/>
          <w:sz w:val="22"/>
          <w:szCs w:val="22"/>
        </w:rPr>
        <w:t xml:space="preserve">Underwriters — who's writing what, and how they compare to their peers.</w:t>
      </w:r>
    </w:p>
    <w:p>
      <w:pPr>
        <w:spacing w:after="120"/>
      </w:pPr>
      <w:r>
        <w:rPr>
          <w:rFonts w:ascii="Calibri" w:cs="Calibri" w:eastAsia="Calibri" w:hAnsi="Calibri"/>
          <w:b w:val="false"/>
          <w:bCs w:val="false"/>
          <w:sz w:val="22"/>
          <w:szCs w:val="22"/>
        </w:rPr>
        <w:t xml:space="preserve">Trends — is this month normal, or was the move real or just seasonal.</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Spend most of the tour time on Overview</w:t>
      </w:r>
      <w:r>
        <w:rPr>
          <w:rFonts w:ascii="Calibri" w:cs="Calibri" w:eastAsia="Calibri" w:hAnsi="Calibri"/>
          <w:b w:val="false"/>
          <w:bCs w:val="false"/>
          <w:sz w:val="22"/>
          <w:szCs w:val="22"/>
        </w:rPr>
        <w:t xml:space="preserve"> — that's the page most people will actually open day to day.</w:t>
      </w:r>
    </w:p>
    <w:p>
      <w:pPr>
        <w:pBdr>
          <w:bottom w:val="single" w:color="C1571B" w:sz="6" w:space="4"/>
        </w:pBdr>
        <w:spacing w:after="40" w:before="300"/>
      </w:pPr>
      <w:r>
        <w:rPr>
          <w:rFonts w:ascii="Calibri" w:cs="Calibri" w:eastAsia="Calibri" w:hAnsi="Calibri"/>
          <w:b/>
          <w:bCs/>
          <w:color w:val="C1571B"/>
          <w:sz w:val="20"/>
          <w:szCs w:val="20"/>
        </w:rPr>
        <w:t xml:space="preserve">5:00–9:00  </w:t>
      </w:r>
      <w:r>
        <w:rPr>
          <w:rFonts w:ascii="Calibri" w:cs="Calibri" w:eastAsia="Calibri" w:hAnsi="Calibri"/>
          <w:b/>
          <w:bCs/>
          <w:color w:val="1F3864"/>
          <w:sz w:val="26"/>
          <w:szCs w:val="26"/>
        </w:rPr>
        <w:t xml:space="preserve">The four headline numbers — the heart of the talk</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All four come from RBS</w:t>
      </w:r>
      <w:r>
        <w:rPr>
          <w:rFonts w:ascii="Calibri" w:cs="Calibri" w:eastAsia="Calibri" w:hAnsi="Calibri"/>
          <w:b w:val="false"/>
          <w:bCs w:val="false"/>
          <w:sz w:val="22"/>
          <w:szCs w:val="22"/>
        </w:rPr>
        <w:t xml:space="preserve"> — the booked-business report, our single source of truth for anything we've actually written. Say that once, plainly, then talk about the numbers, not the plumbing.</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Bound Premium — $601.7 million.</w:t>
      </w:r>
      <w:r>
        <w:rPr>
          <w:rFonts w:ascii="Calibri" w:cs="Calibri" w:eastAsia="Calibri" w:hAnsi="Calibri"/>
          <w:b w:val="false"/>
          <w:bCs w:val="false"/>
          <w:sz w:val="22"/>
          <w:szCs w:val="22"/>
        </w:rPr>
        <w:t xml:space="preserve"> Our share of the premium on everything we won in the period. Straight from RBS: agency share of gross written premium on every line of every policy, lines first, then policies — a policy with both a primary and an excess layer contributes both lines.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UW Margin — 44.4%.</w:t>
      </w:r>
      <w:r>
        <w:rPr>
          <w:rFonts w:ascii="Calibri" w:cs="Calibri" w:eastAsia="Calibri" w:hAnsi="Calibri"/>
          <w:b w:val="false"/>
          <w:bCs w:val="false"/>
          <w:sz w:val="22"/>
          <w:szCs w:val="22"/>
        </w:rPr>
        <w:t xml:space="preserve"> Of every premium dollar, what's left after the claims we expect to pay and the commission we pay away. Expected loss ratio and commission, both weighted by premium, subtracted from a hundred: 39.0% expected claims and 16.6% commission, leaving 44.4%.</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Binds — 5,034.</w:t>
      </w:r>
      <w:r>
        <w:rPr>
          <w:rFonts w:ascii="Calibri" w:cs="Calibri" w:eastAsia="Calibri" w:hAnsi="Calibri"/>
          <w:b w:val="false"/>
          <w:bCs w:val="false"/>
          <w:sz w:val="22"/>
          <w:szCs w:val="22"/>
        </w:rPr>
        <w:t xml:space="preserve"> How many risks we actually won, counted as distinct policies in RBS — a policy written across two layers is one win, not two.</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Premium per Active Underwriter — $4.46 million.</w:t>
      </w:r>
      <w:r>
        <w:rPr>
          <w:rFonts w:ascii="Calibri" w:cs="Calibri" w:eastAsia="Calibri" w:hAnsi="Calibri"/>
          <w:b w:val="false"/>
          <w:bCs w:val="false"/>
          <w:sz w:val="22"/>
          <w:szCs w:val="22"/>
        </w:rPr>
        <w:t xml:space="preserve"> Bound premium divided by the number of different underwriters credited with at least one win.</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one line that ties them together:</w:t>
      </w:r>
      <w:r>
        <w:rPr>
          <w:rFonts w:ascii="Calibri" w:cs="Calibri" w:eastAsia="Calibri" w:hAnsi="Calibri"/>
          <w:b w:val="false"/>
          <w:bCs w:val="false"/>
          <w:sz w:val="22"/>
          <w:szCs w:val="22"/>
        </w:rPr>
        <w:t xml:space="preserve"> Bound premium is what we wrote. Margin is how good it is. Binds is how many risks it took. Premium per underwriter is how much of that sits behind each underwriter actually writing business.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Say the caveat before anyone has to ask.</w:t>
      </w:r>
      <w:r>
        <w:rPr>
          <w:rFonts w:ascii="Calibri" w:cs="Calibri" w:eastAsia="Calibri" w:hAnsi="Calibri"/>
          <w:b w:val="false"/>
          <w:bCs w:val="false"/>
          <w:sz w:val="22"/>
          <w:szCs w:val="22"/>
        </w:rPr>
        <w:t xml:space="preserve"> That last one is not headcount. No HR file, so I count underwriters who won at least one deal — that flatters the number slightly, because nobody who won nothing sits in the denominator. The page labels it a stand-in everywhere it appears.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If pushed on margin specifically:</w:t>
      </w:r>
      <w:r>
        <w:rPr>
          <w:rFonts w:ascii="Calibri" w:cs="Calibri" w:eastAsia="Calibri" w:hAnsi="Calibri"/>
          <w:b w:val="false"/>
          <w:bCs w:val="false"/>
          <w:sz w:val="22"/>
          <w:szCs w:val="22"/>
        </w:rPr>
        <w:t xml:space="preserve"> margin cover is 99.5%, so the margin speaks for virtually the whole book. The soft spot — 11.5% of that premium records no commission at all, treated as “none charged.” Over just the risks that do record a commission, margin actually reads 43.0% rather than 44.4%. The page says so under the figure; it's on my list for the team.</w:t>
      </w:r>
    </w:p>
    <w:p>
      <w:pPr>
        <w:pBdr>
          <w:bottom w:val="single" w:color="C1571B" w:sz="6" w:space="4"/>
        </w:pBdr>
        <w:spacing w:after="40" w:before="300"/>
      </w:pPr>
      <w:r>
        <w:rPr>
          <w:rFonts w:ascii="Calibri" w:cs="Calibri" w:eastAsia="Calibri" w:hAnsi="Calibri"/>
          <w:b/>
          <w:bCs/>
          <w:color w:val="C1571B"/>
          <w:sz w:val="20"/>
          <w:szCs w:val="20"/>
        </w:rPr>
        <w:t xml:space="preserve">9:00–11:00  </w:t>
      </w:r>
      <w:r>
        <w:rPr>
          <w:rFonts w:ascii="Calibri" w:cs="Calibri" w:eastAsia="Calibri" w:hAnsi="Calibri"/>
          <w:b/>
          <w:bCs/>
          <w:color w:val="1F3864"/>
          <w:sz w:val="26"/>
          <w:szCs w:val="26"/>
        </w:rPr>
        <w:t xml:space="preserve">Biggest moves against a year earlier</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This panel answers “where do I look first.”</w:t>
      </w:r>
      <w:r>
        <w:rPr>
          <w:rFonts w:ascii="Calibri" w:cs="Calibri" w:eastAsia="Calibri" w:hAnsi="Calibri"/>
          <w:b w:val="false"/>
          <w:bCs w:val="false"/>
          <w:sz w:val="22"/>
          <w:szCs w:val="22"/>
        </w:rPr>
        <w:t xml:space="preserve"> Two lists, because two kinds of figure move in two different units — rates move in points (42% to 44% is two points, not 4.8%), amounts and counts move in percent.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exact selection rule (four parts):</w:t>
      </w:r>
      <w:r>
        <w:rPr>
          <w:rFonts w:ascii="Calibri" w:cs="Calibri" w:eastAsia="Calibri" w:hAnsi="Calibri"/>
          <w:b w:val="false"/>
          <w:bCs w:val="false"/>
          <w:sz w:val="22"/>
          <w:szCs w:val="22"/>
        </w:rPr>
        <w:t xml:space="preserve"> compared against the same months a year earlier — rates ranked by points moved, amounts by percent — top three of each — anything on fewer than 20 policies, or fewer than 5 underwriters for a per-person figure, is thrown out before ranking.</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Direction isn't judged here</w:t>
      </w:r>
      <w:r>
        <w:rPr>
          <w:rFonts w:ascii="Calibri" w:cs="Calibri" w:eastAsia="Calibri" w:hAnsi="Calibri"/>
          <w:b w:val="false"/>
          <w:bCs w:val="false"/>
          <w:sz w:val="22"/>
          <w:szCs w:val="22"/>
        </w:rPr>
        <w:t xml:space="preserve"> — it shows what moved most; the colour and arrow tell you whether that's good news or not.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One line to land:</w:t>
      </w:r>
      <w:r>
        <w:rPr>
          <w:rFonts w:ascii="Calibri" w:cs="Calibri" w:eastAsia="Calibri" w:hAnsi="Calibri"/>
          <w:b w:val="false"/>
          <w:bCs w:val="false"/>
          <w:sz w:val="22"/>
          <w:szCs w:val="22"/>
        </w:rPr>
        <w:t xml:space="preserve"> that points-versus-percent distinction is small, but it saves people arguing about the same number twice.</w:t>
      </w:r>
    </w:p>
    <w:p>
      <w:pPr>
        <w:pBdr>
          <w:bottom w:val="single" w:color="C1571B" w:sz="6" w:space="4"/>
        </w:pBdr>
        <w:spacing w:after="40" w:before="300"/>
      </w:pPr>
      <w:r>
        <w:rPr>
          <w:rFonts w:ascii="Calibri" w:cs="Calibri" w:eastAsia="Calibri" w:hAnsi="Calibri"/>
          <w:b/>
          <w:bCs/>
          <w:color w:val="C1571B"/>
          <w:sz w:val="20"/>
          <w:szCs w:val="20"/>
        </w:rPr>
        <w:t xml:space="preserve">11:00–13:00  </w:t>
      </w:r>
      <w:r>
        <w:rPr>
          <w:rFonts w:ascii="Calibri" w:cs="Calibri" w:eastAsia="Calibri" w:hAnsi="Calibri"/>
          <w:b/>
          <w:bCs/>
          <w:color w:val="1F3864"/>
          <w:sz w:val="26"/>
          <w:szCs w:val="26"/>
        </w:rPr>
        <w:t xml:space="preserve">What drove Premium per Active Underwriter — slow down here</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This is the most impressive two minutes.</w:t>
      </w:r>
      <w:r>
        <w:rPr>
          <w:rFonts w:ascii="Calibri" w:cs="Calibri" w:eastAsia="Calibri" w:hAnsi="Calibri"/>
          <w:b w:val="false"/>
          <w:bCs w:val="false"/>
          <w:sz w:val="22"/>
          <w:szCs w:val="22"/>
        </w:rPr>
        <w:t xml:space="preserve"> Premium per underwriter isn't one number — it's four multiplied together, and the split is arithmetic, not a story I've chosen: submissions per underwriter × quote rate × win rate × average deal size.</w:t>
      </w:r>
    </w:p>
    <w:p>
      <w:pPr>
        <w:spacing w:after="120"/>
      </w:pPr>
      <w:r>
        <w:rPr>
          <w:rFonts w:ascii="Calibri" w:cs="Calibri" w:eastAsia="Calibri" w:hAnsi="Calibri"/>
          <w:b w:val="false"/>
          <w:bCs w:val="false"/>
          <w:sz w:val="22"/>
          <w:szCs w:val="22"/>
        </w:rPr>
        <w:t xml:space="preserve">Submissions per underwriter: 212.6 → 192.1, a </w:t>
      </w:r>
      <w:r>
        <w:rPr>
          <w:rFonts w:ascii="Calibri" w:cs="Calibri" w:eastAsia="Calibri" w:hAnsi="Calibri"/>
          <w:b/>
          <w:bCs/>
          <w:sz w:val="22"/>
          <w:szCs w:val="22"/>
        </w:rPr>
        <w:t xml:space="preserve">9.7-point drag</w:t>
      </w:r>
      <w:r>
        <w:rPr>
          <w:rFonts w:ascii="Calibri" w:cs="Calibri" w:eastAsia="Calibri" w:hAnsi="Calibri"/>
          <w:b w:val="false"/>
          <w:bCs w:val="false"/>
          <w:sz w:val="22"/>
          <w:szCs w:val="22"/>
        </w:rPr>
        <w:t xml:space="preserve">. Quote rate: 42.4% → 44.3%, </w:t>
      </w:r>
      <w:r>
        <w:rPr>
          <w:rFonts w:ascii="Calibri" w:cs="Calibri" w:eastAsia="Calibri" w:hAnsi="Calibri"/>
          <w:b/>
          <w:bCs/>
          <w:sz w:val="22"/>
          <w:szCs w:val="22"/>
        </w:rPr>
        <w:t xml:space="preserve">+4.1 points</w:t>
      </w:r>
      <w:r>
        <w:rPr>
          <w:rFonts w:ascii="Calibri" w:cs="Calibri" w:eastAsia="Calibri" w:hAnsi="Calibri"/>
          <w:b w:val="false"/>
          <w:bCs w:val="false"/>
          <w:sz w:val="22"/>
          <w:szCs w:val="22"/>
        </w:rPr>
        <w:t xml:space="preserve">. Win rate: 45.8% → 43.8%, </w:t>
      </w:r>
      <w:r>
        <w:rPr>
          <w:rFonts w:ascii="Calibri" w:cs="Calibri" w:eastAsia="Calibri" w:hAnsi="Calibri"/>
          <w:b/>
          <w:bCs/>
          <w:sz w:val="22"/>
          <w:szCs w:val="22"/>
        </w:rPr>
        <w:t xml:space="preserve">−4.1 points</w:t>
      </w:r>
      <w:r>
        <w:rPr>
          <w:rFonts w:ascii="Calibri" w:cs="Calibri" w:eastAsia="Calibri" w:hAnsi="Calibri"/>
          <w:b w:val="false"/>
          <w:bCs w:val="false"/>
          <w:sz w:val="22"/>
          <w:szCs w:val="22"/>
        </w:rPr>
        <w:t xml:space="preserve">. Average deal size: $119.0k → $119.5k, </w:t>
      </w:r>
      <w:r>
        <w:rPr>
          <w:rFonts w:ascii="Calibri" w:cs="Calibri" w:eastAsia="Calibri" w:hAnsi="Calibri"/>
          <w:b/>
          <w:bCs/>
          <w:sz w:val="22"/>
          <w:szCs w:val="22"/>
        </w:rPr>
        <w:t xml:space="preserve">+0.4 points</w:t>
      </w:r>
      <w:r>
        <w:rPr>
          <w:rFonts w:ascii="Calibri" w:cs="Calibri" w:eastAsia="Calibri" w:hAnsi="Calibri"/>
          <w:b w:val="false"/>
          <w:bCs w:val="false"/>
          <w:sz w:val="22"/>
          <w:szCs w:val="22"/>
        </w:rPr>
        <w:t xml:space="preserve">.</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point to land, and the trap to avoid.</w:t>
      </w:r>
      <w:r>
        <w:rPr>
          <w:rFonts w:ascii="Calibri" w:cs="Calibri" w:eastAsia="Calibri" w:hAnsi="Calibri"/>
          <w:b w:val="false"/>
          <w:bCs w:val="false"/>
          <w:sz w:val="22"/>
          <w:szCs w:val="22"/>
        </w:rPr>
        <w:t xml:space="preserve"> Headline: premium per active underwriter fell 9.3%. The cause is NOT that the flow dried up — submissions rose 11.9%. It's that the number of underwriters winning business rose even faster, 23.9%, 109 → 135 people. The work spread wider.</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Say it this way:</w:t>
      </w:r>
      <w:r>
        <w:rPr>
          <w:rFonts w:ascii="Calibri" w:cs="Calibri" w:eastAsia="Calibri" w:hAnsi="Calibri"/>
          <w:b w:val="false"/>
          <w:bCs w:val="false"/>
          <w:sz w:val="22"/>
          <w:szCs w:val="22"/>
        </w:rPr>
        <w:t xml:space="preserve"> the denominator grew faster than the numerator. Quote rate helped, win rate hurt, deal size was flat.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Where I'd want the underwriting view:</w:t>
      </w:r>
      <w:r>
        <w:rPr>
          <w:rFonts w:ascii="Calibri" w:cs="Calibri" w:eastAsia="Calibri" w:hAnsi="Calibri"/>
          <w:b w:val="false"/>
          <w:bCs w:val="false"/>
          <w:sz w:val="22"/>
          <w:szCs w:val="22"/>
        </w:rPr>
        <w:t xml:space="preserve"> win rate cost us four points — is that pricing, appetite, or competition?</w:t>
      </w:r>
    </w:p>
    <w:p>
      <w:pPr>
        <w:pBdr>
          <w:bottom w:val="single" w:color="C1571B" w:sz="6" w:space="4"/>
        </w:pBdr>
        <w:spacing w:after="40" w:before="300"/>
      </w:pPr>
      <w:r>
        <w:rPr>
          <w:rFonts w:ascii="Calibri" w:cs="Calibri" w:eastAsia="Calibri" w:hAnsi="Calibri"/>
          <w:b/>
          <w:bCs/>
          <w:color w:val="C1571B"/>
          <w:sz w:val="20"/>
          <w:szCs w:val="20"/>
        </w:rPr>
        <w:t xml:space="preserve">13:00–17:00  </w:t>
      </w:r>
      <w:r>
        <w:rPr>
          <w:rFonts w:ascii="Calibri" w:cs="Calibri" w:eastAsia="Calibri" w:hAnsi="Calibri"/>
          <w:b/>
          <w:bCs/>
          <w:color w:val="1F3864"/>
          <w:sz w:val="26"/>
          <w:szCs w:val="26"/>
        </w:rPr>
        <w:t xml:space="preserve">Tab by tab — ~40 seconds each</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Funnel.</w:t>
      </w:r>
      <w:r>
        <w:rPr>
          <w:rFonts w:ascii="Calibri" w:cs="Calibri" w:eastAsia="Calibri" w:hAnsi="Calibri"/>
          <w:b w:val="false"/>
          <w:bCs w:val="false"/>
          <w:sz w:val="22"/>
          <w:szCs w:val="22"/>
        </w:rPr>
        <w:t xml:space="preserve"> 25,939 submissions → 11,488 quotes → 5,034 binds — 44.3% quote rate, 43.8% win rate. The only part that needs the submissions report as well as RBS, since RBS only knows about business we won. Quote rate is appetite-and-capacity; win rate is pricing-and-competition. Worth knowing: 169 of the 5,034 bound policies, 9% of premium, have no row in the submissions report — win rate reads 42.3% if only counting wins the submissions report knows about. Flagged on the page; a question for the team.</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Book Quality — all from RBS.</w:t>
      </w:r>
      <w:r>
        <w:rPr>
          <w:rFonts w:ascii="Calibri" w:cs="Calibri" w:eastAsia="Calibri" w:hAnsi="Calibri"/>
          <w:b w:val="false"/>
          <w:bCs w:val="false"/>
          <w:sz w:val="22"/>
          <w:szCs w:val="22"/>
        </w:rPr>
        <w:t xml:space="preserve"> UW Margin: what's left after expected claims and commission. GELR: expected claims as priced, margin version (only risks with a loss estimate) and book version (blank counts as zero) — page always names which. Commission: share paid away, same two versions. Margin/commission cover: how much premium those figures rest on. Attachment points: how much loss happens before we pay — excess on excess layers, deductible on primary. Median limit: typical size of cover, median not mean so a few large towers don't swamp it. Rate Adequacy: are we charging enough against plan, plus a version checked against RBS's own benchmark. RARC (renewals only): how much price moved once the risk itself is allowed for, 100% = flat. Today: margin 44.4%, expected claims 39.0%, commission 16.6%, rate adequacy 139.7%, RARC 99.5%.</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What We Write.</w:t>
      </w:r>
      <w:r>
        <w:rPr>
          <w:rFonts w:ascii="Calibri" w:cs="Calibri" w:eastAsia="Calibri" w:hAnsi="Calibri"/>
          <w:b w:val="false"/>
          <w:bCs w:val="false"/>
          <w:sz w:val="22"/>
          <w:szCs w:val="22"/>
        </w:rPr>
        <w:t xml:space="preserve"> Mosaic as lead: how often we set the terms rather than follow. Primary share: how much of the book is first-layer cover. Average agency share: how big a slice of each placement, weighted by premium. SCM share: how much sits on third-party capital rather than our own syndicate. Broker concentration: how much sits with our five biggest brokers. Average policy length. Renewal premium growth: of premium up for renewal, how much came back. Plus two mix bars: new vs renewal, and how business reached us. Today: we lead 68.1% of risks, 52.0% are primary, average agency share 59.3%, SCM share 64.7%, top five brokers hold 23.6%.</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Productivity.</w:t>
      </w:r>
      <w:r>
        <w:rPr>
          <w:rFonts w:ascii="Calibri" w:cs="Calibri" w:eastAsia="Calibri" w:hAnsi="Calibri"/>
          <w:b w:val="false"/>
          <w:bCs w:val="false"/>
          <w:sz w:val="22"/>
          <w:szCs w:val="22"/>
        </w:rPr>
        <w:t xml:space="preserve"> Active underwriters, 135, won at least one deal. Roster underwriters, 146, had at least one submission. Premium per active underwriter $4.46m, per roster underwriter $4.12m, margin per active underwriter $1.98m. </w:t>
      </w:r>
      <w:r>
        <w:rPr>
          <w:rFonts w:ascii="Calibri" w:cs="Calibri" w:eastAsia="Calibri" w:hAnsi="Calibri"/>
          <w:b/>
          <w:bCs/>
          <w:sz w:val="22"/>
          <w:szCs w:val="22"/>
        </w:rPr>
        <w:t xml:space="preserve">The tab that most needs the HR file</w:t>
      </w:r>
      <w:r>
        <w:rPr>
          <w:rFonts w:ascii="Calibri" w:cs="Calibri" w:eastAsia="Calibri" w:hAnsi="Calibri"/>
          <w:b w:val="false"/>
          <w:bCs w:val="false"/>
          <w:sz w:val="22"/>
          <w:szCs w:val="22"/>
        </w:rPr>
        <w:t xml:space="preserve"> — both counts only see people who did something; a non-selling leader, new joiner, or someone on leave is invisible. With HR this becomes true productivity per head; without it, it's a labelled proxy.</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Underwriters.</w:t>
      </w:r>
      <w:r>
        <w:rPr>
          <w:rFonts w:ascii="Calibri" w:cs="Calibri" w:eastAsia="Calibri" w:hAnsi="Calibri"/>
          <w:b w:val="false"/>
          <w:bCs w:val="false"/>
          <w:sz w:val="22"/>
          <w:szCs w:val="22"/>
        </w:rPr>
        <w:t xml:space="preserve"> One row per underwriter — submissions, quote rate, binds, win rate, premium, peer-median position, margin — sortable, searchable, small books hideable. Click a name to filter the whole page to that person. Peer median column is a multiple — 1.5 means half again the middle underwriter's premium — 25% either side gets an arrow. </w:t>
      </w:r>
      <w:r>
        <w:rPr>
          <w:rFonts w:ascii="Calibri" w:cs="Calibri" w:eastAsia="Calibri" w:hAnsi="Calibri"/>
          <w:b/>
          <w:bCs/>
          <w:sz w:val="22"/>
          <w:szCs w:val="22"/>
        </w:rPr>
        <w:t xml:space="preserve">Two honest flags:</w:t>
      </w:r>
      <w:r>
        <w:rPr>
          <w:rFonts w:ascii="Calibri" w:cs="Calibri" w:eastAsia="Calibri" w:hAnsi="Calibri"/>
          <w:b w:val="false"/>
          <w:bCs w:val="false"/>
          <w:sz w:val="22"/>
          <w:szCs w:val="22"/>
        </w:rPr>
        <w:t xml:space="preserve"> rates on fewer than twenty policies are greyed out; names typed two different ways are tagged as possible duplicates rather than silently merged — four such pairs in this data, needs someone who knows the team to confirm.</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Trends.</w:t>
      </w:r>
      <w:r>
        <w:rPr>
          <w:rFonts w:ascii="Calibri" w:cs="Calibri" w:eastAsia="Calibri" w:hAnsi="Calibri"/>
          <w:b w:val="false"/>
          <w:bCs w:val="false"/>
          <w:sz w:val="22"/>
          <w:szCs w:val="22"/>
        </w:rPr>
        <w:t xml:space="preserve"> 24 months of premium, binds, submissions, quote rate, win rate, margin — selected months in orange, everything else grey, so a trend reads differently from a wobble. </w:t>
      </w:r>
      <w:r>
        <w:rPr>
          <w:rFonts w:ascii="Calibri" w:cs="Calibri" w:eastAsia="Calibri" w:hAnsi="Calibri"/>
          <w:b/>
          <w:bCs/>
          <w:sz w:val="22"/>
          <w:szCs w:val="22"/>
        </w:rPr>
        <w:t xml:space="preserve">Expect the right-hand end to dip</w:t>
      </w:r>
      <w:r>
        <w:rPr>
          <w:rFonts w:ascii="Calibri" w:cs="Calibri" w:eastAsia="Calibri" w:hAnsi="Calibri"/>
          <w:b w:val="false"/>
          <w:bCs w:val="false"/>
          <w:sz w:val="22"/>
          <w:szCs w:val="22"/>
        </w:rPr>
        <w:t xml:space="preserve"> — quotes and binds arrive weeks after a submission, so the newest months are still filling in; the chart says so under the title, so it doesn't read as a collapse.</w:t>
      </w:r>
    </w:p>
    <w:p>
      <w:pPr>
        <w:pBdr>
          <w:bottom w:val="single" w:color="C1571B" w:sz="6" w:space="4"/>
        </w:pBdr>
        <w:spacing w:after="40" w:before="300"/>
      </w:pPr>
      <w:r>
        <w:rPr>
          <w:rFonts w:ascii="Calibri" w:cs="Calibri" w:eastAsia="Calibri" w:hAnsi="Calibri"/>
          <w:b/>
          <w:bCs/>
          <w:color w:val="C1571B"/>
          <w:sz w:val="20"/>
          <w:szCs w:val="20"/>
        </w:rPr>
        <w:t xml:space="preserve">17:00–19:00  </w:t>
      </w:r>
      <w:r>
        <w:rPr>
          <w:rFonts w:ascii="Calibri" w:cs="Calibri" w:eastAsia="Calibri" w:hAnsi="Calibri"/>
          <w:b/>
          <w:bCs/>
          <w:color w:val="1F3864"/>
          <w:sz w:val="26"/>
          <w:szCs w:val="26"/>
        </w:rPr>
        <w:t xml:space="preserve">Data and refresh — the ask that unblocks everything</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Be straightforward:</w:t>
      </w:r>
      <w:r>
        <w:rPr>
          <w:rFonts w:ascii="Calibri" w:cs="Calibri" w:eastAsia="Calibri" w:hAnsi="Calibri"/>
          <w:b w:val="false"/>
          <w:bCs w:val="false"/>
          <w:sz w:val="22"/>
          <w:szCs w:val="22"/>
        </w:rPr>
        <w:t xml:space="preserve"> today this reads a file — that's the one thing standing between this and a genuinely live dashboard. Everything computed from the reports themselves, nothing typed in, no spreadsheet in the middle — but it's reading an export, so someone has to keep producing it.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Three specifics to ask for:</w:t>
      </w:r>
      <w:r>
        <w:rPr>
          <w:rFonts w:ascii="Calibri" w:cs="Calibri" w:eastAsia="Calibri" w:hAnsi="Calibri"/>
          <w:b w:val="false"/>
          <w:bCs w:val="false"/>
          <w:sz w:val="22"/>
          <w:szCs w:val="22"/>
        </w:rPr>
        <w:t xml:space="preserve"> the live table behind RBS, confirmation the transformations I apply match the report's own (I've written every one down, column by column — a checklist conversation, not a project), and standing read access on a schedule, daily is plenty.</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prize:</w:t>
      </w:r>
      <w:r>
        <w:rPr>
          <w:rFonts w:ascii="Calibri" w:cs="Calibri" w:eastAsia="Calibri" w:hAnsi="Calibri"/>
          <w:b w:val="false"/>
          <w:bCs w:val="false"/>
          <w:sz w:val="22"/>
          <w:szCs w:val="22"/>
        </w:rPr>
        <w:t xml:space="preserve"> stops being a monthly effort on my laptop, becomes a page anyone can open, filtered to their own book, with a link they can share.</w:t>
      </w:r>
    </w:p>
    <w:p>
      <w:pPr>
        <w:pBdr>
          <w:bottom w:val="single" w:color="C1571B" w:sz="6" w:space="4"/>
        </w:pBdr>
        <w:spacing w:after="40" w:before="300"/>
      </w:pPr>
      <w:r>
        <w:rPr>
          <w:rFonts w:ascii="Calibri" w:cs="Calibri" w:eastAsia="Calibri" w:hAnsi="Calibri"/>
          <w:b/>
          <w:bCs/>
          <w:color w:val="C1571B"/>
          <w:sz w:val="20"/>
          <w:szCs w:val="20"/>
        </w:rPr>
        <w:t xml:space="preserve">PART OF THE CLOSE  </w:t>
      </w:r>
      <w:r>
        <w:rPr>
          <w:rFonts w:ascii="Calibri" w:cs="Calibri" w:eastAsia="Calibri" w:hAnsi="Calibri"/>
          <w:b/>
          <w:bCs/>
          <w:color w:val="1F3864"/>
          <w:sz w:val="26"/>
          <w:szCs w:val="26"/>
        </w:rPr>
        <w:t xml:space="preserve">What I want the team to decide — six definition differences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Frame these as business decisions, not bugs in either build.</w:t>
      </w:r>
      <w:r>
        <w:rPr>
          <w:rFonts w:ascii="Calibri" w:cs="Calibri" w:eastAsia="Calibri" w:hAnsi="Calibri"/>
          <w:b w:val="false"/>
          <w:bCs w:val="false"/>
          <w:sz w:val="22"/>
          <w:szCs w:val="22"/>
        </w:rPr>
        <w:t xml:space="preserve"> Six places two reasonable approaches genuinely disagree — until someone picks, the two dashboards never tie out.</w:t>
      </w:r>
    </w:p>
    <w:p>
      <w:pPr>
        <w:spacing w:after="120"/>
      </w:pPr>
      <w:r>
        <w:rPr>
          <w:rFonts w:ascii="Calibri" w:cs="Calibri" w:eastAsia="Calibri" w:hAnsi="Calibri"/>
          <w:b w:val="false"/>
          <w:bCs w:val="false"/>
          <w:sz w:val="22"/>
          <w:szCs w:val="22"/>
        </w:rPr>
        <w:t xml:space="preserve">1. </w:t>
      </w:r>
      <w:r>
        <w:rPr>
          <w:rFonts w:ascii="Calibri" w:cs="Calibri" w:eastAsia="Calibri" w:hAnsi="Calibri"/>
          <w:b/>
          <w:bCs/>
          <w:sz w:val="22"/>
          <w:szCs w:val="22"/>
        </w:rPr>
        <w:t xml:space="preserve">Which report gives the headline premium.</w:t>
      </w:r>
      <w:r>
        <w:rPr>
          <w:rFonts w:ascii="Calibri" w:cs="Calibri" w:eastAsia="Calibri" w:hAnsi="Calibri"/>
          <w:b w:val="false"/>
          <w:bCs w:val="false"/>
          <w:sz w:val="22"/>
          <w:szCs w:val="22"/>
        </w:rPr>
        <w:t xml:space="preserve"> Matt: submissions report with RBS's margin on top. Ours: RBS directly, treating submissions as a cross-check. The two bases sit </w:t>
      </w:r>
      <w:r>
        <w:rPr>
          <w:rFonts w:ascii="Calibri" w:cs="Calibri" w:eastAsia="Calibri" w:hAnsi="Calibri"/>
          <w:b/>
          <w:bCs/>
          <w:sz w:val="22"/>
          <w:szCs w:val="22"/>
        </w:rPr>
        <w:t xml:space="preserve">9.1% apart</w:t>
      </w:r>
      <w:r>
        <w:rPr>
          <w:rFonts w:ascii="Calibri" w:cs="Calibri" w:eastAsia="Calibri" w:hAnsi="Calibri"/>
          <w:b w:val="false"/>
          <w:bCs w:val="false"/>
          <w:sz w:val="22"/>
          <w:szCs w:val="22"/>
        </w:rPr>
        <w:t xml:space="preserve"> on this data — neither is wrong.</w:t>
      </w:r>
    </w:p>
    <w:p>
      <w:pPr>
        <w:spacing w:after="120"/>
      </w:pPr>
      <w:r>
        <w:rPr>
          <w:rFonts w:ascii="Calibri" w:cs="Calibri" w:eastAsia="Calibri" w:hAnsi="Calibri"/>
          <w:b w:val="false"/>
          <w:bCs w:val="false"/>
          <w:sz w:val="22"/>
          <w:szCs w:val="22"/>
        </w:rPr>
        <w:t xml:space="preserve">2. </w:t>
      </w:r>
      <w:r>
        <w:rPr>
          <w:rFonts w:ascii="Calibri" w:cs="Calibri" w:eastAsia="Calibri" w:hAnsi="Calibri"/>
          <w:b/>
          <w:bCs/>
          <w:sz w:val="22"/>
          <w:szCs w:val="22"/>
        </w:rPr>
        <w:t xml:space="preserve">Which GELR and which commission count as “the” figures.</w:t>
      </w:r>
      <w:r>
        <w:rPr>
          <w:rFonts w:ascii="Calibri" w:cs="Calibri" w:eastAsia="Calibri" w:hAnsi="Calibri"/>
          <w:b w:val="false"/>
          <w:bCs w:val="false"/>
          <w:sz w:val="22"/>
          <w:szCs w:val="22"/>
        </w:rPr>
        <w:t xml:space="preserve"> His single GELR lines up with my margin version; his single commission lines up with my book version — so like-named columns across both builds actually mismatch. His version also drops 2021 inceptions, mine doesn't.</w:t>
      </w:r>
    </w:p>
    <w:p>
      <w:pPr>
        <w:spacing w:after="120"/>
      </w:pPr>
      <w:r>
        <w:rPr>
          <w:rFonts w:ascii="Calibri" w:cs="Calibri" w:eastAsia="Calibri" w:hAnsi="Calibri"/>
          <w:b w:val="false"/>
          <w:bCs w:val="false"/>
          <w:sz w:val="22"/>
          <w:szCs w:val="22"/>
        </w:rPr>
        <w:t xml:space="preserve">3. </w:t>
      </w:r>
      <w:r>
        <w:rPr>
          <w:rFonts w:ascii="Calibri" w:cs="Calibri" w:eastAsia="Calibri" w:hAnsi="Calibri"/>
          <w:b/>
          <w:bCs/>
          <w:sz w:val="22"/>
          <w:szCs w:val="22"/>
        </w:rPr>
        <w:t xml:space="preserve">Whether a missing commission counts as zero.</w:t>
      </w:r>
      <w:r>
        <w:rPr>
          <w:rFonts w:ascii="Calibri" w:cs="Calibri" w:eastAsia="Calibri" w:hAnsi="Calibri"/>
          <w:b w:val="false"/>
          <w:bCs w:val="false"/>
          <w:sz w:val="22"/>
          <w:szCs w:val="22"/>
        </w:rPr>
        <w:t xml:space="preserve"> Both builds treat it that way — I show what it's worth: 11.5% of margin premium records no commission at all; treating that as “none charged” lifts margin from 43.0% to 44.4%.</w:t>
      </w:r>
    </w:p>
    <w:p>
      <w:pPr>
        <w:spacing w:after="120"/>
      </w:pPr>
      <w:r>
        <w:rPr>
          <w:rFonts w:ascii="Calibri" w:cs="Calibri" w:eastAsia="Calibri" w:hAnsi="Calibri"/>
          <w:b w:val="false"/>
          <w:bCs w:val="false"/>
          <w:sz w:val="22"/>
          <w:szCs w:val="22"/>
        </w:rPr>
        <w:t xml:space="preserve">4. </w:t>
      </w:r>
      <w:r>
        <w:rPr>
          <w:rFonts w:ascii="Calibri" w:cs="Calibri" w:eastAsia="Calibri" w:hAnsi="Calibri"/>
          <w:b/>
          <w:bCs/>
          <w:sz w:val="22"/>
          <w:szCs w:val="22"/>
        </w:rPr>
        <w:t xml:space="preserve">Whether win rate should only count binds DSR knows about.</w:t>
      </w:r>
      <w:r>
        <w:rPr>
          <w:rFonts w:ascii="Calibri" w:cs="Calibri" w:eastAsia="Calibri" w:hAnsi="Calibri"/>
          <w:b w:val="false"/>
          <w:bCs w:val="false"/>
          <w:sz w:val="22"/>
          <w:szCs w:val="22"/>
        </w:rPr>
        <w:t xml:space="preserve"> His funnel is nested by construction — wins come from the submissions report. Mine comes from RBS, so 169 policies, 9% of premium, are wins with no submission row — my win rate reads 43.8% against his effective 42.3%, and can push one underwriter's rate over 100%.</w:t>
      </w:r>
    </w:p>
    <w:p>
      <w:pPr>
        <w:spacing w:after="120"/>
      </w:pPr>
      <w:r>
        <w:rPr>
          <w:rFonts w:ascii="Calibri" w:cs="Calibri" w:eastAsia="Calibri" w:hAnsi="Calibri"/>
          <w:b w:val="false"/>
          <w:bCs w:val="false"/>
          <w:sz w:val="22"/>
          <w:szCs w:val="22"/>
        </w:rPr>
        <w:t xml:space="preserve">5. </w:t>
      </w:r>
      <w:r>
        <w:rPr>
          <w:rFonts w:ascii="Calibri" w:cs="Calibri" w:eastAsia="Calibri" w:hAnsi="Calibri"/>
          <w:b/>
          <w:bCs/>
          <w:sz w:val="22"/>
          <w:szCs w:val="22"/>
        </w:rPr>
        <w:t xml:space="preserve">How we compare an underwriter to their peers.</w:t>
      </w:r>
      <w:r>
        <w:rPr>
          <w:rFonts w:ascii="Calibri" w:cs="Calibri" w:eastAsia="Calibri" w:hAnsi="Calibri"/>
          <w:b w:val="false"/>
          <w:bCs w:val="false"/>
          <w:sz w:val="22"/>
          <w:szCs w:val="22"/>
        </w:rPr>
        <w:t xml:space="preserve"> His method annualises margin against product or line and needs HR months and a product mapping I don't have. Mine compares premium against the median of whoever's in the current filters — the honest stand-in until we have those inputs.</w:t>
      </w:r>
    </w:p>
    <w:p>
      <w:pPr>
        <w:spacing w:after="120"/>
      </w:pPr>
      <w:r>
        <w:rPr>
          <w:rFonts w:ascii="Calibri" w:cs="Calibri" w:eastAsia="Calibri" w:hAnsi="Calibri"/>
          <w:b w:val="false"/>
          <w:bCs w:val="false"/>
          <w:sz w:val="22"/>
          <w:szCs w:val="22"/>
        </w:rPr>
        <w:t xml:space="preserve">6. </w:t>
      </w:r>
      <w:r>
        <w:rPr>
          <w:rFonts w:ascii="Calibri" w:cs="Calibri" w:eastAsia="Calibri" w:hAnsi="Calibri"/>
          <w:b/>
          <w:bCs/>
          <w:sz w:val="22"/>
          <w:szCs w:val="22"/>
        </w:rPr>
        <w:t xml:space="preserve">What counts as the primary attachment point.</w:t>
      </w:r>
      <w:r>
        <w:rPr>
          <w:rFonts w:ascii="Calibri" w:cs="Calibri" w:eastAsia="Calibri" w:hAnsi="Calibri"/>
          <w:b w:val="false"/>
          <w:bCs w:val="false"/>
          <w:sz w:val="22"/>
          <w:szCs w:val="22"/>
        </w:rPr>
        <w:t xml:space="preserve"> His adds excess and deductible together and splits by layer. Mine uses deductible only on primary layers, blank counted as zero — that blank-handling choice alone roughly halves the figure: $29.3k against $58.5k if blanks were excluded instead.</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None of these are bugs — they're definition calls.</w:t>
      </w:r>
      <w:r>
        <w:rPr>
          <w:rFonts w:ascii="Calibri" w:cs="Calibri" w:eastAsia="Calibri" w:hAnsi="Calibri"/>
          <w:b w:val="false"/>
          <w:bCs w:val="false"/>
          <w:sz w:val="22"/>
          <w:szCs w:val="22"/>
        </w:rPr>
        <w:t xml:space="preserve"> I'm not asking the room to decide on the spot; </w:t>
      </w:r>
      <w:r>
        <w:rPr>
          <w:rFonts w:ascii="Calibri" w:cs="Calibri" w:eastAsia="Calibri" w:hAnsi="Calibri"/>
          <w:b/>
          <w:bCs/>
          <w:sz w:val="22"/>
          <w:szCs w:val="22"/>
        </w:rPr>
        <w:t xml:space="preserve">I'm asking for owners and a date</w:t>
      </w:r>
      <w:r>
        <w:rPr>
          <w:rFonts w:ascii="Calibri" w:cs="Calibri" w:eastAsia="Calibri" w:hAnsi="Calibri"/>
          <w:b w:val="false"/>
          <w:bCs w:val="false"/>
          <w:sz w:val="22"/>
          <w:szCs w:val="22"/>
        </w:rPr>
        <w:t xml:space="preserve">, because the actual fix is one line of config in each case.</w:t>
      </w:r>
    </w:p>
    <w:p>
      <w:pPr>
        <w:pBdr>
          <w:bottom w:val="single" w:color="C1571B" w:sz="6" w:space="4"/>
        </w:pBdr>
        <w:spacing w:after="40" w:before="300"/>
      </w:pPr>
      <w:r>
        <w:rPr>
          <w:rFonts w:ascii="Calibri" w:cs="Calibri" w:eastAsia="Calibri" w:hAnsi="Calibri"/>
          <w:b/>
          <w:bCs/>
          <w:color w:val="C1571B"/>
          <w:sz w:val="20"/>
          <w:szCs w:val="20"/>
        </w:rPr>
        <w:t xml:space="preserve">19:00–20:00  </w:t>
      </w:r>
      <w:r>
        <w:rPr>
          <w:rFonts w:ascii="Calibri" w:cs="Calibri" w:eastAsia="Calibri" w:hAnsi="Calibri"/>
          <w:b/>
          <w:bCs/>
          <w:color w:val="1F3864"/>
          <w:sz w:val="26"/>
          <w:szCs w:val="26"/>
        </w:rPr>
        <w:t xml:space="preserve">The close</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line to land:</w:t>
      </w:r>
      <w:r>
        <w:rPr>
          <w:rFonts w:ascii="Calibri" w:cs="Calibri" w:eastAsia="Calibri" w:hAnsi="Calibri"/>
          <w:b w:val="false"/>
          <w:bCs w:val="false"/>
          <w:sz w:val="22"/>
          <w:szCs w:val="22"/>
        </w:rPr>
        <w:t xml:space="preserve"> this is the underwriting productivity picture, built on the two reports we already trust, every number traceable back to the exact column it came from.</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unification framing:</w:t>
      </w:r>
      <w:r>
        <w:rPr>
          <w:rFonts w:ascii="Calibri" w:cs="Calibri" w:eastAsia="Calibri" w:hAnsi="Calibri"/>
          <w:b w:val="false"/>
          <w:bCs w:val="false"/>
          <w:sz w:val="22"/>
          <w:szCs w:val="22"/>
        </w:rPr>
        <w:t xml:space="preserve"> it's the underwriting half — the CEO view asks the same questions about the same book: premium, margin, productivity. Today those questions would get answered by two different builds with two different definitions. The engine underneath is the same either way — one rulebook, one set of definitions, two front pages. That's the version worth having.</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Three asks:</w:t>
      </w:r>
      <w:r>
        <w:rPr>
          <w:rFonts w:ascii="Calibri" w:cs="Calibri" w:eastAsia="Calibri" w:hAnsi="Calibri"/>
          <w:b w:val="false"/>
          <w:bCs w:val="false"/>
          <w:sz w:val="22"/>
          <w:szCs w:val="22"/>
        </w:rPr>
        <w:t xml:space="preserve"> the live RBS table with read access; a decision on the definition differences, so both dashboards actually agree; the HR file when it exists, which turns my stand-in into real productivity per head.</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If I only get one thing:</w:t>
      </w:r>
      <w:r>
        <w:rPr>
          <w:rFonts w:ascii="Calibri" w:cs="Calibri" w:eastAsia="Calibri" w:hAnsi="Calibri"/>
          <w:b w:val="false"/>
          <w:bCs w:val="false"/>
          <w:sz w:val="22"/>
          <w:szCs w:val="22"/>
        </w:rPr>
        <w:t xml:space="preserve"> the live table and the transformation checklist. Everything else can wait a month — that one unlocks the rest.</w:t>
      </w:r>
    </w:p>
    <w:p>
      <w:pPr>
        <w:pBdr>
          <w:bottom w:val="single" w:color="C1571B" w:sz="6" w:space="4"/>
        </w:pBdr>
        <w:spacing w:after="40" w:before="300"/>
      </w:pPr>
      <w:r>
        <w:rPr>
          <w:rFonts w:ascii="Calibri" w:cs="Calibri" w:eastAsia="Calibri" w:hAnsi="Calibri"/>
          <w:b/>
          <w:bCs/>
          <w:color w:val="C1571B"/>
          <w:sz w:val="20"/>
          <w:szCs w:val="20"/>
        </w:rPr>
        <w:t xml:space="preserve">Q&amp;A REFERENCE  </w:t>
      </w:r>
      <w:r>
        <w:rPr>
          <w:rFonts w:ascii="Calibri" w:cs="Calibri" w:eastAsia="Calibri" w:hAnsi="Calibri"/>
          <w:b/>
          <w:bCs/>
          <w:color w:val="1F3864"/>
          <w:sz w:val="26"/>
          <w:szCs w:val="26"/>
        </w:rPr>
        <w:t xml:space="preserve">If it gets hard — not part of the main talk</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“Can the numbers be trusted?”</w:t>
      </w:r>
      <w:r>
        <w:rPr>
          <w:rFonts w:ascii="Calibri" w:cs="Calibri" w:eastAsia="Calibri" w:hAnsi="Calibri"/>
          <w:b w:val="false"/>
          <w:bCs w:val="false"/>
          <w:sz w:val="22"/>
          <w:szCs w:val="22"/>
        </w:rPr>
        <w:t xml:space="preserve"> Every figure is independently rebuilt by a separate check that doesn't use the dashboard's own code, and compared. If they ever differ, the check fails.</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“Why is premium's badge red?”</w:t>
      </w:r>
      <w:r>
        <w:rPr>
          <w:rFonts w:ascii="Calibri" w:cs="Calibri" w:eastAsia="Calibri" w:hAnsi="Calibri"/>
          <w:b w:val="false"/>
          <w:bCs w:val="false"/>
          <w:sz w:val="22"/>
          <w:szCs w:val="22"/>
        </w:rPr>
        <w:t xml:space="preserve"> The two reports disagree by 9.1% on this slice — rather than hide it, the page shows both and keeps RBS — mostly 169 bound policies the submissions report never saw.</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 this headcount?”</w:t>
      </w:r>
      <w:r>
        <w:rPr>
          <w:rFonts w:ascii="Calibri" w:cs="Calibri" w:eastAsia="Calibri" w:hAnsi="Calibri"/>
          <w:b w:val="false"/>
          <w:bCs w:val="false"/>
          <w:sz w:val="22"/>
          <w:szCs w:val="22"/>
        </w:rPr>
        <w:t xml:space="preserve"> No, never call it that — it's underwriters who won business, and it flatters slightly.</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“What can't it do?”</w:t>
      </w:r>
      <w:r>
        <w:rPr>
          <w:rFonts w:ascii="Calibri" w:cs="Calibri" w:eastAsia="Calibri" w:hAnsi="Calibri"/>
          <w:b w:val="false"/>
          <w:bCs w:val="false"/>
          <w:sz w:val="22"/>
          <w:szCs w:val="22"/>
        </w:rPr>
        <w:t xml:space="preserve"> Agency revenue and fee yield (columns don't exist in the standard report), product splits (mapping lives outside both reports), true headcount/role/tenure (needs HR), a true retention rate (needs the expiring book as its own list).</w:t>
      </w:r>
    </w:p>
    <w:p>
      <w:pPr>
        <w:spacing w:after="12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“How long to go live?”</w:t>
      </w:r>
      <w:r>
        <w:rPr>
          <w:rFonts w:ascii="Calibri" w:cs="Calibri" w:eastAsia="Calibri" w:hAnsi="Calibri"/>
          <w:b w:val="false"/>
          <w:bCs w:val="false"/>
          <w:sz w:val="22"/>
          <w:szCs w:val="22"/>
        </w:rPr>
        <w:t xml:space="preserve"> A day's work once there's a table and access — one class in the code reads the export, nothing else in the pipeline knows or cares where rows come from.</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2026-09-18T05:14:32.437Z</dcterms:created>
  <dcterms:modified xsi:type="dcterms:W3CDTF">2026-09-18T05:14:32.439Z</dcterms:modified>
</cp:coreProperties>
</file>

<file path=docProps/custom.xml><?xml version="1.0" encoding="utf-8"?>
<Properties xmlns="http://schemas.openxmlformats.org/officeDocument/2006/custom-properties" xmlns:vt="http://schemas.openxmlformats.org/officeDocument/2006/docPropsVTypes"/>
</file>