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UNO BANK</w:t>
      </w:r>
    </w:p>
    <w:p>
      <w:pPr>
        <w:pStyle w:val="Subtitle"/>
      </w:pPr>
      <w:r>
        <w:t xml:space="preserve">Fixed Deposit Management Platform</w:t>
      </w:r>
    </w:p>
    <w:p>
      <w:r>
        <w:t xml:space="preserve">System architecture, modules, APIs, workflows, deployment, technology stack, dependencies and verification</w:t>
      </w:r>
    </w:p>
    <w:p>
      <w:r>
        <w:t xml:space="preserve">Project report • Generated 26 October 2026 • Based on the repository documentation and source layout</w:t>
      </w:r>
    </w:p>
    <w:p>
      <w:pPr>
        <w:pStyle w:val="Heading1"/>
      </w:pPr>
      <w:r>
        <w:t xml:space="preserve">1. Executive overview</w:t>
      </w:r>
    </w:p>
    <w:p>
      <w:r>
        <w:t xml:space="preserve">UNO Bank is a locally integrated banking demonstration focused on fixed deposits. It provides web interfaces for customers, bank officers and administrators, backed by independent Java services and a Kafka event pipeline. Customers can discover catalog products, calculate estimated returns, submit FD applications individually or as bundles, and review their portfolios. Staff can approve applications and operate reporting and interest workflows. Administrators manage users, batch operations, system settings and product configuration.</w:t>
      </w:r>
    </w:p>
    <w:p>
      <w:r>
        <w:t xml:space="preserve">The platform is designed for local development and demonstrations. It is not a production banking system: the calculator is informational, external payments are not executed, and Compose contains development defaults that must be replaced before any deployment outside a trusted local environment.</w:t>
      </w:r>
    </w:p>
    <w:p>
      <w:pPr>
        <w:pStyle w:val="Heading1"/>
      </w:pPr>
      <w:r>
        <w:t xml:space="preserve">2. System architecture</w:t>
      </w:r>
    </w:p>
    <w:p>
      <w:r>
        <w:t xml:space="preserve">The primary Angular application communicates directly with backend services over HTTP. There is no deployed API gateway in the integrated Compose stack. Authentication is centralized in Auth Service. Services validate signed JWT access tokens with shared issuer and secret settings. The product service owns product configuration, and the FD account service owns customer deposit applications, account state and accounting transactions.</w:t>
      </w:r>
    </w:p>
    <w:p>
      <w:r>
        <w:t xml:space="preserve">The account service writes business changes and event-outbox records in a database transaction. A relay publishes events to Kafka. The interest batch service coordinates daily accrual requests; notification and statement services consume lifecycle or interest events. Consumers are designed for at-least-once delivery, with event identifiers and retry/dead-letter handling where configured. A statement is an event-derived projection and can lag its source account transaction.</w:t>
      </w:r>
    </w:p>
    <w:tbl>
      <w:tblPr>
        <w:tblW w:w="0" w:type="auto"/>
        <w:tblBorders>
          <w:top w:val="single" w:sz="4" w:color="B8C3D8"/>
          <w:left w:val="single" w:sz="4" w:color="B8C3D8"/>
          <w:bottom w:val="single" w:sz="4" w:color="B8C3D8"/>
          <w:right w:val="single" w:sz="4" w:color="B8C3D8"/>
          <w:insideH w:val="single" w:sz="4" w:color="B8C3D8"/>
          <w:insideV w:val="single" w:sz="4" w:color="B8C3D8"/>
        </w:tblBorders>
      </w:tblPr>
      <w:tr>
        <w:tc>
          <w:tcPr>
            <w:tcW w:w="0" w:type="auto"/>
            <w:shd w:fill="24345A"/>
          </w:tcPr>
          <w:p>
            <w:r>
              <w:rPr>
                <w:b/>
                <w:color w:val="FFFFFF"/>
              </w:rPr>
              <w:t xml:space="preserve">Layer</w:t>
            </w:r>
          </w:p>
        </w:tc>
        <w:tc>
          <w:tcPr>
            <w:tcW w:w="0" w:type="auto"/>
            <w:shd w:fill="24345A"/>
          </w:tcPr>
          <w:p>
            <w:r>
              <w:rPr>
                <w:b/>
                <w:color w:val="FFFFFF"/>
              </w:rPr>
              <w:t xml:space="preserve">Components</w:t>
            </w:r>
          </w:p>
        </w:tc>
        <w:tc>
          <w:tcPr>
            <w:tcW w:w="0" w:type="auto"/>
            <w:shd w:fill="24345A"/>
          </w:tcPr>
          <w:p>
            <w:r>
              <w:rPr>
                <w:b/>
                <w:color w:val="FFFFFF"/>
              </w:rPr>
              <w:t xml:space="preserve">Responsibility</w:t>
            </w:r>
          </w:p>
        </w:tc>
      </w:tr>
      <w:tr>
        <w:tc>
          <w:tcPr>
            <w:tcW w:w="0" w:type="auto"/>
          </w:tcPr>
          <w:p>
            <w:r>
              <w:rPr/>
              <w:t xml:space="preserve">Presentation</w:t>
            </w:r>
          </w:p>
        </w:tc>
        <w:tc>
          <w:tcPr>
            <w:tcW w:w="0" w:type="auto"/>
          </w:tcPr>
          <w:p>
            <w:r>
              <w:rPr/>
              <w:t xml:space="preserve">Angular main app (4200); alternate light app; interest dashboard</w:t>
            </w:r>
          </w:p>
        </w:tc>
        <w:tc>
          <w:tcPr>
            <w:tcW w:w="0" w:type="auto"/>
          </w:tcPr>
          <w:p>
            <w:r>
              <w:rPr/>
              <w:t xml:space="preserve">Customer, officer and admin workflows; token-based API calls</w:t>
            </w:r>
          </w:p>
        </w:tc>
      </w:tr>
      <w:tr>
        <w:tc>
          <w:tcPr>
            <w:tcW w:w="0" w:type="auto"/>
          </w:tcPr>
          <w:p>
            <w:r>
              <w:rPr/>
              <w:t xml:space="preserve">Identity</w:t>
            </w:r>
          </w:p>
        </w:tc>
        <w:tc>
          <w:tcPr>
            <w:tcW w:w="0" w:type="auto"/>
          </w:tcPr>
          <w:p>
            <w:r>
              <w:rPr/>
              <w:t xml:space="preserve">Auth Service (8090); security-common</w:t>
            </w:r>
          </w:p>
        </w:tc>
        <w:tc>
          <w:tcPr>
            <w:tcW w:w="0" w:type="auto"/>
          </w:tcPr>
          <w:p>
            <w:r>
              <w:rPr/>
              <w:t xml:space="preserve">Signup/OTP, login, refresh/logout, user admin, JWT issuance/validation</w:t>
            </w:r>
          </w:p>
        </w:tc>
      </w:tr>
      <w:tr>
        <w:tc>
          <w:tcPr>
            <w:tcW w:w="0" w:type="auto"/>
          </w:tcPr>
          <w:p>
            <w:r>
              <w:rPr/>
              <w:t xml:space="preserve">Catalog and quote</w:t>
            </w:r>
          </w:p>
        </w:tc>
        <w:tc>
          <w:tcPr>
            <w:tcW w:w="0" w:type="auto"/>
          </w:tcPr>
          <w:p>
            <w:r>
              <w:rPr/>
              <w:t xml:space="preserve">Product service (8080); FD calculator (8084)</w:t>
            </w:r>
          </w:p>
        </w:tc>
        <w:tc>
          <w:tcPr>
            <w:tcW w:w="0" w:type="auto"/>
          </w:tcPr>
          <w:p>
            <w:r>
              <w:rPr/>
              <w:t xml:space="preserve">Persisted product rules/rates/charges; estimates, comparisons and calculation audit</w:t>
            </w:r>
          </w:p>
        </w:tc>
      </w:tr>
      <w:tr>
        <w:tc>
          <w:tcPr>
            <w:tcW w:w="0" w:type="auto"/>
          </w:tcPr>
          <w:p>
            <w:r>
              <w:rPr/>
              <w:t xml:space="preserve">Account domain</w:t>
            </w:r>
          </w:p>
        </w:tc>
        <w:tc>
          <w:tcPr>
            <w:tcW w:w="0" w:type="auto"/>
          </w:tcPr>
          <w:p>
            <w:r>
              <w:rPr/>
              <w:t xml:space="preserve">FD account service (8086)</w:t>
            </w:r>
          </w:p>
        </w:tc>
        <w:tc>
          <w:tcPr>
            <w:tcW w:w="0" w:type="auto"/>
          </w:tcPr>
          <w:p>
            <w:r>
              <w:rPr/>
              <w:t xml:space="preserve">Applications/bundles, account lifecycle, ledger, interest, maturity, withdrawals</w:t>
            </w:r>
          </w:p>
        </w:tc>
      </w:tr>
      <w:tr>
        <w:tc>
          <w:tcPr>
            <w:tcW w:w="0" w:type="auto"/>
          </w:tcPr>
          <w:p>
            <w:r>
              <w:rPr/>
              <w:t xml:space="preserve">Asynchronous services</w:t>
            </w:r>
          </w:p>
        </w:tc>
        <w:tc>
          <w:tcPr>
            <w:tcW w:w="0" w:type="auto"/>
          </w:tcPr>
          <w:p>
            <w:r>
              <w:rPr/>
              <w:t xml:space="preserve">Batch (8081), notifications (8083), statements (8082), Kafka</w:t>
            </w:r>
          </w:p>
        </w:tc>
        <w:tc>
          <w:tcPr>
            <w:tcW w:w="0" w:type="auto"/>
          </w:tcPr>
          <w:p>
            <w:r>
              <w:rPr/>
              <w:t xml:space="preserve">Batch coordination, message delivery/history, statement projection</w:t>
            </w:r>
          </w:p>
        </w:tc>
      </w:tr>
      <w:tr>
        <w:tc>
          <w:tcPr>
            <w:tcW w:w="0" w:type="auto"/>
          </w:tcPr>
          <w:p>
            <w:r>
              <w:rPr/>
              <w:t xml:space="preserve">Infrastructure</w:t>
            </w:r>
          </w:p>
        </w:tc>
        <w:tc>
          <w:tcPr>
            <w:tcW w:w="0" w:type="auto"/>
          </w:tcPr>
          <w:p>
            <w:r>
              <w:rPr/>
              <w:t xml:space="preserve">MySQL, Kafka, ZooKeeper, Mailpit</w:t>
            </w:r>
          </w:p>
        </w:tc>
        <w:tc>
          <w:tcPr>
            <w:tcW w:w="0" w:type="auto"/>
          </w:tcPr>
          <w:p>
            <w:r>
              <w:rPr/>
              <w:t xml:space="preserve">Persistent data, event transport, local email capture</w:t>
            </w:r>
          </w:p>
        </w:tc>
      </w:tr>
    </w:tbl>
    <w:p>
      <w:pPr>
        <w:pStyle w:val="Heading1"/>
      </w:pPr>
      <w:r>
        <w:t xml:space="preserve">3. Services, ports and data ownership</w:t>
      </w:r>
    </w:p>
    <w:tbl>
      <w:tblPr>
        <w:tblW w:w="0" w:type="auto"/>
        <w:tblBorders>
          <w:top w:val="single" w:sz="4" w:color="B8C3D8"/>
          <w:left w:val="single" w:sz="4" w:color="B8C3D8"/>
          <w:bottom w:val="single" w:sz="4" w:color="B8C3D8"/>
          <w:right w:val="single" w:sz="4" w:color="B8C3D8"/>
          <w:insideH w:val="single" w:sz="4" w:color="B8C3D8"/>
          <w:insideV w:val="single" w:sz="4" w:color="B8C3D8"/>
        </w:tblBorders>
      </w:tblPr>
      <w:tr>
        <w:tc>
          <w:tcPr>
            <w:tcW w:w="0" w:type="auto"/>
            <w:shd w:fill="24345A"/>
          </w:tcPr>
          <w:p>
            <w:r>
              <w:rPr>
                <w:b/>
                <w:color w:val="FFFFFF"/>
              </w:rPr>
              <w:t xml:space="preserve">Service</w:t>
            </w:r>
          </w:p>
        </w:tc>
        <w:tc>
          <w:tcPr>
            <w:tcW w:w="0" w:type="auto"/>
            <w:shd w:fill="24345A"/>
          </w:tcPr>
          <w:p>
            <w:r>
              <w:rPr>
                <w:b/>
                <w:color w:val="FFFFFF"/>
              </w:rPr>
              <w:t xml:space="preserve">Host port</w:t>
            </w:r>
          </w:p>
        </w:tc>
        <w:tc>
          <w:tcPr>
            <w:tcW w:w="0" w:type="auto"/>
            <w:shd w:fill="24345A"/>
          </w:tcPr>
          <w:p>
            <w:r>
              <w:rPr>
                <w:b/>
                <w:color w:val="FFFFFF"/>
              </w:rPr>
              <w:t xml:space="preserve">Data store</w:t>
            </w:r>
          </w:p>
        </w:tc>
        <w:tc>
          <w:tcPr>
            <w:tcW w:w="0" w:type="auto"/>
            <w:shd w:fill="24345A"/>
          </w:tcPr>
          <w:p>
            <w:r>
              <w:rPr>
                <w:b/>
                <w:color w:val="FFFFFF"/>
              </w:rPr>
              <w:t xml:space="preserve">Main role</w:t>
            </w:r>
          </w:p>
        </w:tc>
      </w:tr>
      <w:tr>
        <w:tc>
          <w:tcPr>
            <w:tcW w:w="0" w:type="auto"/>
          </w:tcPr>
          <w:p>
            <w:r>
              <w:rPr/>
              <w:t xml:space="preserve">Auth</w:t>
            </w:r>
          </w:p>
        </w:tc>
        <w:tc>
          <w:tcPr>
            <w:tcW w:w="0" w:type="auto"/>
          </w:tcPr>
          <w:p>
            <w:r>
              <w:rPr/>
              <w:t xml:space="preserve">8090</w:t>
            </w:r>
          </w:p>
        </w:tc>
        <w:tc>
          <w:tcPr>
            <w:tcW w:w="0" w:type="auto"/>
          </w:tcPr>
          <w:p>
            <w:r>
              <w:rPr/>
              <w:t xml:space="preserve">auth_db (MySQL host 3309)</w:t>
            </w:r>
          </w:p>
        </w:tc>
        <w:tc>
          <w:tcPr>
            <w:tcW w:w="0" w:type="auto"/>
          </w:tcPr>
          <w:p>
            <w:r>
              <w:rPr/>
              <w:t xml:space="preserve">Identity, OTP/refresh state and administrative user operations</w:t>
            </w:r>
          </w:p>
        </w:tc>
      </w:tr>
      <w:tr>
        <w:tc>
          <w:tcPr>
            <w:tcW w:w="0" w:type="auto"/>
          </w:tcPr>
          <w:p>
            <w:r>
              <w:rPr/>
              <w:t xml:space="preserve">Product &amp; Pricing</w:t>
            </w:r>
          </w:p>
        </w:tc>
        <w:tc>
          <w:tcPr>
            <w:tcW w:w="0" w:type="auto"/>
          </w:tcPr>
          <w:p>
            <w:r>
              <w:rPr/>
              <w:t xml:space="preserve">8080</w:t>
            </w:r>
          </w:p>
        </w:tc>
        <w:tc>
          <w:tcPr>
            <w:tcW w:w="0" w:type="auto"/>
          </w:tcPr>
          <w:p>
            <w:r>
              <w:rPr/>
              <w:t xml:space="preserve">banking_product_db (host 3308)</w:t>
            </w:r>
          </w:p>
        </w:tc>
        <w:tc>
          <w:tcPr>
            <w:tcW w:w="0" w:type="auto"/>
          </w:tcPr>
          <w:p>
            <w:r>
              <w:rPr/>
              <w:t xml:space="preserve">Product catalog and pricing/eligibility configuration</w:t>
            </w:r>
          </w:p>
        </w:tc>
      </w:tr>
      <w:tr>
        <w:tc>
          <w:tcPr>
            <w:tcW w:w="0" w:type="auto"/>
          </w:tcPr>
          <w:p>
            <w:r>
              <w:rPr/>
              <w:t xml:space="preserve">FD Calculator</w:t>
            </w:r>
          </w:p>
        </w:tc>
        <w:tc>
          <w:tcPr>
            <w:tcW w:w="0" w:type="auto"/>
          </w:tcPr>
          <w:p>
            <w:r>
              <w:rPr/>
              <w:t xml:space="preserve">8084</w:t>
            </w:r>
          </w:p>
        </w:tc>
        <w:tc>
          <w:tcPr>
            <w:tcW w:w="0" w:type="auto"/>
          </w:tcPr>
          <w:p>
            <w:r>
              <w:rPr/>
              <w:t xml:space="preserve">fd_calculator (host 3307)</w:t>
            </w:r>
          </w:p>
        </w:tc>
        <w:tc>
          <w:tcPr>
            <w:tcW w:w="0" w:type="auto"/>
          </w:tcPr>
          <w:p>
            <w:r>
              <w:rPr/>
              <w:t xml:space="preserve">Maturity estimates, comparisons, exports and calculation audit</w:t>
            </w:r>
          </w:p>
        </w:tc>
      </w:tr>
      <w:tr>
        <w:tc>
          <w:tcPr>
            <w:tcW w:w="0" w:type="auto"/>
          </w:tcPr>
          <w:p>
            <w:r>
              <w:rPr/>
              <w:t xml:space="preserve">FD Account</w:t>
            </w:r>
          </w:p>
        </w:tc>
        <w:tc>
          <w:tcPr>
            <w:tcW w:w="0" w:type="auto"/>
          </w:tcPr>
          <w:p>
            <w:r>
              <w:rPr/>
              <w:t xml:space="preserve">8086</w:t>
            </w:r>
          </w:p>
        </w:tc>
        <w:tc>
          <w:tcPr>
            <w:tcW w:w="0" w:type="auto"/>
          </w:tcPr>
          <w:p>
            <w:r>
              <w:rPr/>
              <w:t xml:space="preserve">banking_technology_lab (host 3310)</w:t>
            </w:r>
          </w:p>
        </w:tc>
        <w:tc>
          <w:tcPr>
            <w:tcW w:w="0" w:type="auto"/>
          </w:tcPr>
          <w:p>
            <w:r>
              <w:rPr/>
              <w:t xml:space="preserve">Applications, accounts, transactions, ledger, interest and reports</w:t>
            </w:r>
          </w:p>
        </w:tc>
      </w:tr>
      <w:tr>
        <w:tc>
          <w:tcPr>
            <w:tcW w:w="0" w:type="auto"/>
          </w:tcPr>
          <w:p>
            <w:r>
              <w:rPr/>
              <w:t xml:space="preserve">Interest Batch</w:t>
            </w:r>
          </w:p>
        </w:tc>
        <w:tc>
          <w:tcPr>
            <w:tcW w:w="0" w:type="auto"/>
          </w:tcPr>
          <w:p>
            <w:r>
              <w:rPr/>
              <w:t xml:space="preserve">8081</w:t>
            </w:r>
          </w:p>
        </w:tc>
        <w:tc>
          <w:tcPr>
            <w:tcW w:w="0" w:type="auto"/>
          </w:tcPr>
          <w:p>
            <w:r>
              <w:rPr/>
              <w:t xml:space="preserve">fd_batch (same MySQL host)</w:t>
            </w:r>
          </w:p>
        </w:tc>
        <w:tc>
          <w:tcPr>
            <w:tcW w:w="0" w:type="auto"/>
          </w:tcPr>
          <w:p>
            <w:r>
              <w:rPr/>
              <w:t xml:space="preserve">Admin batch requests and scheduled coordination</w:t>
            </w:r>
          </w:p>
        </w:tc>
      </w:tr>
      <w:tr>
        <w:tc>
          <w:tcPr>
            <w:tcW w:w="0" w:type="auto"/>
          </w:tcPr>
          <w:p>
            <w:r>
              <w:rPr/>
              <w:t xml:space="preserve">Notifications</w:t>
            </w:r>
          </w:p>
        </w:tc>
        <w:tc>
          <w:tcPr>
            <w:tcW w:w="0" w:type="auto"/>
          </w:tcPr>
          <w:p>
            <w:r>
              <w:rPr/>
              <w:t xml:space="preserve">8083</w:t>
            </w:r>
          </w:p>
        </w:tc>
        <w:tc>
          <w:tcPr>
            <w:tcW w:w="0" w:type="auto"/>
          </w:tcPr>
          <w:p>
            <w:r>
              <w:rPr/>
              <w:t xml:space="preserve">fd_notifications (same MySQL host)</w:t>
            </w:r>
          </w:p>
        </w:tc>
        <w:tc>
          <w:tcPr>
            <w:tcW w:w="0" w:type="auto"/>
          </w:tcPr>
          <w:p>
            <w:r>
              <w:rPr/>
              <w:t xml:space="preserve">Notification records and event-driven delivery</w:t>
            </w:r>
          </w:p>
        </w:tc>
      </w:tr>
      <w:tr>
        <w:tc>
          <w:tcPr>
            <w:tcW w:w="0" w:type="auto"/>
          </w:tcPr>
          <w:p>
            <w:r>
              <w:rPr/>
              <w:t xml:space="preserve">Statements</w:t>
            </w:r>
          </w:p>
        </w:tc>
        <w:tc>
          <w:tcPr>
            <w:tcW w:w="0" w:type="auto"/>
          </w:tcPr>
          <w:p>
            <w:r>
              <w:rPr/>
              <w:t xml:space="preserve">8082</w:t>
            </w:r>
          </w:p>
        </w:tc>
        <w:tc>
          <w:tcPr>
            <w:tcW w:w="0" w:type="auto"/>
          </w:tcPr>
          <w:p>
            <w:r>
              <w:rPr/>
              <w:t xml:space="preserve">fd_statements (same MySQL host)</w:t>
            </w:r>
          </w:p>
        </w:tc>
        <w:tc>
          <w:tcPr>
            <w:tcW w:w="0" w:type="auto"/>
          </w:tcPr>
          <w:p>
            <w:r>
              <w:rPr/>
              <w:t xml:space="preserve">Statement event projection and summaries</w:t>
            </w:r>
          </w:p>
        </w:tc>
      </w:tr>
      <w:tr>
        <w:tc>
          <w:tcPr>
            <w:tcW w:w="0" w:type="auto"/>
          </w:tcPr>
          <w:p>
            <w:r>
              <w:rPr/>
              <w:t xml:space="preserve">Kafka</w:t>
            </w:r>
          </w:p>
        </w:tc>
        <w:tc>
          <w:tcPr>
            <w:tcW w:w="0" w:type="auto"/>
          </w:tcPr>
          <w:p>
            <w:r>
              <w:rPr/>
              <w:t xml:space="preserve">19092 host / 9092 container</w:t>
            </w:r>
          </w:p>
        </w:tc>
        <w:tc>
          <w:tcPr>
            <w:tcW w:w="0" w:type="auto"/>
          </w:tcPr>
          <w:p>
            <w:r>
              <w:rPr/>
              <w:t xml:space="preserve">Kafka topics</w:t>
            </w:r>
          </w:p>
        </w:tc>
        <w:tc>
          <w:tcPr>
            <w:tcW w:w="0" w:type="auto"/>
          </w:tcPr>
          <w:p>
            <w:r>
              <w:rPr/>
              <w:t xml:space="preserve">Event transport; host applications use 19092</w:t>
            </w:r>
          </w:p>
        </w:tc>
      </w:tr>
      <w:tr>
        <w:tc>
          <w:tcPr>
            <w:tcW w:w="0" w:type="auto"/>
          </w:tcPr>
          <w:p>
            <w:r>
              <w:rPr/>
              <w:t xml:space="preserve">Mailpit</w:t>
            </w:r>
          </w:p>
        </w:tc>
        <w:tc>
          <w:tcPr>
            <w:tcW w:w="0" w:type="auto"/>
          </w:tcPr>
          <w:p>
            <w:r>
              <w:rPr/>
              <w:t xml:space="preserve">8025 web / 1025 SMTP</w:t>
            </w:r>
          </w:p>
        </w:tc>
        <w:tc>
          <w:tcPr>
            <w:tcW w:w="0" w:type="auto"/>
          </w:tcPr>
          <w:p>
            <w:r>
              <w:rPr/>
              <w:t xml:space="preserve">Local Mailpit data volume</w:t>
            </w:r>
          </w:p>
        </w:tc>
        <w:tc>
          <w:tcPr>
            <w:tcW w:w="0" w:type="auto"/>
          </w:tcPr>
          <w:p>
            <w:r>
              <w:rPr/>
              <w:t xml:space="preserve">Development email inspection; provider relay is configurable</w:t>
            </w:r>
          </w:p>
        </w:tc>
      </w:tr>
    </w:tbl>
    <w:p>
      <w:r>
        <w:t xml:space="preserve">The MySQL service schemas are logically separate; in Compose, the four MySQL server containers expose host ports 3307–3310. Kafka containers use kafka:9092 internally. Local databases initialize SQL scripts only when their data volume is new; existing volumes require explicit migrations.</w:t>
      </w:r>
    </w:p>
    <w:p>
      <w:pPr>
        <w:pStyle w:val="Heading1"/>
      </w:pPr>
      <w:r>
        <w:t xml:space="preserve">4. Functional capabilities</w:t>
      </w:r>
    </w:p>
    <w:p>
      <w:pPr>
        <w:pStyle w:val="Heading2"/>
      </w:pPr>
      <w:r>
        <w:t xml:space="preserve">4.1 Customer workflows</w:t>
      </w:r>
    </w:p>
    <w:p>
      <w:pPr>
        <w:pStyle w:val="ListBullet"/>
      </w:pPr>
      <w:r>
        <w:t xml:space="preserve">Register through signup/OTP, log in and maintain a token session.</w:t>
      </w:r>
    </w:p>
    <w:p>
      <w:pPr>
        <w:pStyle w:val="ListBullet"/>
      </w:pPr>
      <w:r>
        <w:t xml:space="preserve">Browse active deposit products and use the calculator to estimate maturity returns.</w:t>
      </w:r>
    </w:p>
    <w:p>
      <w:pPr>
        <w:pStyle w:val="ListBullet"/>
      </w:pPr>
      <w:r>
        <w:t xml:space="preserve">Submit an individual FD application or a bundle containing multiple requested deposits.</w:t>
      </w:r>
    </w:p>
    <w:p>
      <w:pPr>
        <w:pStyle w:val="ListBullet"/>
      </w:pPr>
      <w:r>
        <w:t xml:space="preserve">View application status, owned accounts, transactions, interest information, statements and notifications.</w:t>
      </w:r>
    </w:p>
    <w:p>
      <w:pPr>
        <w:pStyle w:val="ListBullet"/>
      </w:pPr>
      <w:r>
        <w:t xml:space="preserve">Use the FD Advisor for product comparisons when the optional AI service and Ollama model are available.</w:t>
      </w:r>
    </w:p>
    <w:p>
      <w:pPr>
        <w:pStyle w:val="Heading2"/>
      </w:pPr>
      <w:r>
        <w:t xml:space="preserve">4.2 Officer and administrator workflows</w:t>
      </w:r>
    </w:p>
    <w:p>
      <w:pPr>
        <w:pStyle w:val="ListBullet"/>
      </w:pPr>
      <w:r>
        <w:t xml:space="preserve">Officers review pending applications and bundles, approve/reject requests, create accounts, review customer records and use reporting/ledger views.</w:t>
      </w:r>
    </w:p>
    <w:p>
      <w:pPr>
        <w:pStyle w:val="ListBullet"/>
      </w:pPr>
      <w:r>
        <w:t xml:space="preserve">Product catalog endpoints permit BANK_OFFICER and ADMIN roles for product creation and updates as annotated by the current controllers; permanent product deletion is admin-only.</w:t>
      </w:r>
    </w:p>
    <w:p>
      <w:pPr>
        <w:pStyle w:val="ListBullet"/>
      </w:pPr>
      <w:r>
        <w:t xml:space="preserve">Admins manage users and roles, configure interest mode, submit interest batches, inspect operation logs, and use the business clock where enabled.</w:t>
      </w:r>
    </w:p>
    <w:p>
      <w:pPr>
        <w:pStyle w:val="ListBullet"/>
      </w:pPr>
      <w:r>
        <w:t xml:space="preserve">Staff-facing customer identifiers are display-only; the auth service is the authoritative source for user IDs.</w:t>
      </w:r>
    </w:p>
    <w:p>
      <w:pPr>
        <w:pStyle w:val="Heading2"/>
      </w:pPr>
      <w:r>
        <w:t xml:space="preserve">4.3 Account, accounting and event behavior</w:t>
      </w:r>
    </w:p>
    <w:p>
      <w:pPr>
        <w:pStyle w:val="ListBullet"/>
      </w:pPr>
      <w:r>
        <w:t xml:space="preserve">Account creation records the initial deposit transaction and corresponding GL entries. A duplicate initial-deposit guard exists per account; account-create requests are not generally idempotent.</w:t>
      </w:r>
    </w:p>
    <w:p>
      <w:pPr>
        <w:pStyle w:val="ListBullet"/>
      </w:pPr>
      <w:r>
        <w:t xml:space="preserve">Daily accrual uses the account-side interest engine and business date; a calculator quote is a monthly estimate and may differ.</w:t>
      </w:r>
    </w:p>
    <w:p>
      <w:pPr>
        <w:pStyle w:val="ListBullet"/>
      </w:pPr>
      <w:r>
        <w:t xml:space="preserve">Maturity settlement is guarded against duplicate processing. Premature withdrawal applies configured product rules and records accounting entries, but does not transfer money to an external account.</w:t>
      </w:r>
    </w:p>
    <w:p>
      <w:pPr>
        <w:pStyle w:val="ListBullet"/>
      </w:pPr>
      <w:r>
        <w:t xml:space="preserve">Outbox publishing decouples account transactions from Kafka availability. Event consumers may retry; dead-letter topics require operational inspection.</w:t>
      </w:r>
    </w:p>
    <w:p>
      <w:pPr>
        <w:pStyle w:val="Heading1"/>
      </w:pPr>
      <w:r>
        <w:t xml:space="preserve">5. Endpoint catalogue</w:t>
      </w:r>
    </w:p>
    <w:p>
      <w:r>
        <w:t xml:space="preserve">The following table describes the main externally used endpoint groups. Most business endpoints require Authorization: Bearer &lt;access token&gt;. Exact methods, payload fields, validation and roles are defined by each controller and the root endpoints.md reference.</w:t>
      </w:r>
    </w:p>
    <w:tbl>
      <w:tblPr>
        <w:tblW w:w="0" w:type="auto"/>
        <w:tblBorders>
          <w:top w:val="single" w:sz="4" w:color="B8C3D8"/>
          <w:left w:val="single" w:sz="4" w:color="B8C3D8"/>
          <w:bottom w:val="single" w:sz="4" w:color="B8C3D8"/>
          <w:right w:val="single" w:sz="4" w:color="B8C3D8"/>
          <w:insideH w:val="single" w:sz="4" w:color="B8C3D8"/>
          <w:insideV w:val="single" w:sz="4" w:color="B8C3D8"/>
        </w:tblBorders>
      </w:tblPr>
      <w:tr>
        <w:tc>
          <w:tcPr>
            <w:tcW w:w="0" w:type="auto"/>
            <w:shd w:fill="24345A"/>
          </w:tcPr>
          <w:p>
            <w:r>
              <w:rPr>
                <w:b/>
                <w:color w:val="FFFFFF"/>
              </w:rPr>
              <w:t xml:space="preserve">Service / base path</w:t>
            </w:r>
          </w:p>
        </w:tc>
        <w:tc>
          <w:tcPr>
            <w:tcW w:w="0" w:type="auto"/>
            <w:shd w:fill="24345A"/>
          </w:tcPr>
          <w:p>
            <w:r>
              <w:rPr>
                <w:b/>
                <w:color w:val="FFFFFF"/>
              </w:rPr>
              <w:t xml:space="preserve">Representative routes</w:t>
            </w:r>
          </w:p>
        </w:tc>
        <w:tc>
          <w:tcPr>
            <w:tcW w:w="0" w:type="auto"/>
            <w:shd w:fill="24345A"/>
          </w:tcPr>
          <w:p>
            <w:r>
              <w:rPr>
                <w:b/>
                <w:color w:val="FFFFFF"/>
              </w:rPr>
              <w:t xml:space="preserve">Typical users and usage</w:t>
            </w:r>
          </w:p>
        </w:tc>
      </w:tr>
      <w:tr>
        <w:tc>
          <w:tcPr>
            <w:tcW w:w="0" w:type="auto"/>
          </w:tcPr>
          <w:p>
            <w:r>
              <w:rPr/>
              <w:t xml:space="preserve">Auth :8090 /api/auth</w:t>
            </w:r>
          </w:p>
        </w:tc>
        <w:tc>
          <w:tcPr>
            <w:tcW w:w="0" w:type="auto"/>
          </w:tcPr>
          <w:p>
            <w:r>
              <w:rPr/>
              <w:t xml:space="preserve">POST /login, /signup, /init-signup, /verify-otp, /refresh, /logout; GET /me; /staff/users; /admin/users/**</w:t>
            </w:r>
          </w:p>
        </w:tc>
        <w:tc>
          <w:tcPr>
            <w:tcW w:w="0" w:type="auto"/>
          </w:tcPr>
          <w:p>
            <w:r>
              <w:rPr/>
              <w:t xml:space="preserve">Public auth flows; authenticated self-profile; staff/admin administration</w:t>
            </w:r>
          </w:p>
        </w:tc>
      </w:tr>
      <w:tr>
        <w:tc>
          <w:tcPr>
            <w:tcW w:w="0" w:type="auto"/>
          </w:tcPr>
          <w:p>
            <w:r>
              <w:rPr/>
              <w:t xml:space="preserve">Product :8080 /api/product</w:t>
            </w:r>
          </w:p>
        </w:tc>
        <w:tc>
          <w:tcPr>
            <w:tcW w:w="0" w:type="auto"/>
          </w:tcPr>
          <w:p>
            <w:r>
              <w:rPr/>
              <w:t xml:space="preserve">GET /active, /search, /{code}, /{code}/validate, /{code}/defaults; POST /, /{code}/rate; PUT /{code}; DELETE /{code}</w:t>
            </w:r>
          </w:p>
        </w:tc>
        <w:tc>
          <w:tcPr>
            <w:tcW w:w="0" w:type="auto"/>
          </w:tcPr>
          <w:p>
            <w:r>
              <w:rPr/>
              <w:t xml:space="preserve">Catalog for customers and account forms; staff maintain products and quote rates</w:t>
            </w:r>
          </w:p>
        </w:tc>
      </w:tr>
      <w:tr>
        <w:tc>
          <w:tcPr>
            <w:tcW w:w="0" w:type="auto"/>
          </w:tcPr>
          <w:p>
            <w:r>
              <w:rPr/>
              <w:t xml:space="preserve">Legacy calculator :8080 /api/fd</w:t>
            </w:r>
          </w:p>
        </w:tc>
        <w:tc>
          <w:tcPr>
            <w:tcW w:w="0" w:type="auto"/>
          </w:tcPr>
          <w:p>
            <w:r>
              <w:rPr/>
              <w:t xml:space="preserve">POST /calculate, /calculate/advanced; GET /categories, /history</w:t>
            </w:r>
          </w:p>
        </w:tc>
        <w:tc>
          <w:tcPr>
            <w:tcW w:w="0" w:type="auto"/>
          </w:tcPr>
          <w:p>
            <w:r>
              <w:rPr/>
              <w:t xml:space="preserve">Compatibility calculation API; exact auth follows current security config</w:t>
            </w:r>
          </w:p>
        </w:tc>
      </w:tr>
      <w:tr>
        <w:tc>
          <w:tcPr>
            <w:tcW w:w="0" w:type="auto"/>
          </w:tcPr>
          <w:p>
            <w:r>
              <w:rPr/>
              <w:t xml:space="preserve">Calculator :8084 /api/v1/fd</w:t>
            </w:r>
          </w:p>
        </w:tc>
        <w:tc>
          <w:tcPr>
            <w:tcW w:w="0" w:type="auto"/>
          </w:tcPr>
          <w:p>
            <w:r>
              <w:rPr/>
              <w:t xml:space="preserve">POST /calculations, /calculations/compare, /batch/calculations; GET /products/{code}/preview, /calculations/{id}, /calculations/uuid/{uuid}, /calculations/{id}/export; POST /calculations/{id}/explain</w:t>
            </w:r>
          </w:p>
        </w:tc>
        <w:tc>
          <w:tcPr>
            <w:tcW w:w="0" w:type="auto"/>
          </w:tcPr>
          <w:p>
            <w:r>
              <w:rPr/>
              <w:t xml:space="preserve">Authenticated user calculations, comparisons and saved-result access</w:t>
            </w:r>
          </w:p>
        </w:tc>
      </w:tr>
      <w:tr>
        <w:tc>
          <w:tcPr>
            <w:tcW w:w="0" w:type="auto"/>
          </w:tcPr>
          <w:p>
            <w:r>
              <w:rPr/>
              <w:t xml:space="preserve">Account :8086 /api/fd/account</w:t>
            </w:r>
          </w:p>
        </w:tc>
        <w:tc>
          <w:tcPr>
            <w:tcW w:w="0" w:type="auto"/>
          </w:tcPr>
          <w:p>
            <w:r>
              <w:rPr/>
              <w:t xml:space="preserve">POST /apply, /bundle/apply, /create, /create-with-txn, /approve; GET /pending, /my-applications, /all-applications, /bundle/pending, /bundle/my-bundles, /{account}</w:t>
            </w:r>
          </w:p>
        </w:tc>
        <w:tc>
          <w:tcPr>
            <w:tcW w:w="0" w:type="auto"/>
          </w:tcPr>
          <w:p>
            <w:r>
              <w:rPr/>
              <w:t xml:space="preserve">Customer application and account operations; officer/admin review</w:t>
            </w:r>
          </w:p>
        </w:tc>
      </w:tr>
      <w:tr>
        <w:tc>
          <w:tcPr>
            <w:tcW w:w="0" w:type="auto"/>
          </w:tcPr>
          <w:p>
            <w:r>
              <w:rPr/>
              <w:t xml:space="preserve">Interest :8086 /api/fd/interest</w:t>
            </w:r>
          </w:p>
        </w:tc>
        <w:tc>
          <w:tcPr>
            <w:tcW w:w="0" w:type="auto"/>
          </w:tcPr>
          <w:p>
            <w:r>
              <w:rPr/>
              <w:t xml:space="preserve">POST /quote; GET /accounts, /mine; PUT /{account}/settings</w:t>
            </w:r>
          </w:p>
        </w:tc>
        <w:tc>
          <w:tcPr>
            <w:tcW w:w="0" w:type="auto"/>
          </w:tcPr>
          <w:p>
            <w:r>
              <w:rPr/>
              <w:t xml:space="preserve">Customer quote/own-interest view; staff accounts list; admin mode configuration</w:t>
            </w:r>
          </w:p>
        </w:tc>
      </w:tr>
      <w:tr>
        <w:tc>
          <w:tcPr>
            <w:tcW w:w="0" w:type="auto"/>
          </w:tcPr>
          <w:p>
            <w:r>
              <w:rPr/>
              <w:t xml:space="preserve">Clock and maturity :8086</w:t>
            </w:r>
          </w:p>
        </w:tc>
        <w:tc>
          <w:tcPr>
            <w:tcW w:w="0" w:type="auto"/>
          </w:tcPr>
          <w:p>
            <w:r>
              <w:rPr/>
              <w:t xml:space="preserve">GET/POST /api/fd/clock, /advance, /reset; POST /api/fd/maturity/run</w:t>
            </w:r>
          </w:p>
        </w:tc>
        <w:tc>
          <w:tcPr>
            <w:tcW w:w="0" w:type="auto"/>
          </w:tcPr>
          <w:p>
            <w:r>
              <w:rPr/>
              <w:t xml:space="preserve">Business-day demonstration and staff maturity operations; clock is feature-gated</w:t>
            </w:r>
          </w:p>
        </w:tc>
      </w:tr>
      <w:tr>
        <w:tc>
          <w:tcPr>
            <w:tcW w:w="0" w:type="auto"/>
          </w:tcPr>
          <w:p>
            <w:r>
              <w:rPr/>
              <w:t xml:space="preserve">Ledger/reports :8086</w:t>
            </w:r>
          </w:p>
        </w:tc>
        <w:tc>
          <w:tcPr>
            <w:tcW w:w="0" w:type="auto"/>
          </w:tcPr>
          <w:p>
            <w:r>
              <w:rPr/>
              <w:t xml:space="preserve">/api/fd/ledger/**, /api/fd/journal/**, /api/report/**, /api/charts/**</w:t>
            </w:r>
          </w:p>
        </w:tc>
        <w:tc>
          <w:tcPr>
            <w:tcW w:w="0" w:type="auto"/>
          </w:tcPr>
          <w:p>
            <w:r>
              <w:rPr/>
              <w:t xml:space="preserve">Staff accounting, transaction, portfolio and dashboard views</w:t>
            </w:r>
          </w:p>
        </w:tc>
      </w:tr>
      <w:tr>
        <w:tc>
          <w:tcPr>
            <w:tcW w:w="0" w:type="auto"/>
          </w:tcPr>
          <w:p>
            <w:r>
              <w:rPr/>
              <w:t xml:space="preserve">Batch :8081 /api/admin/interest-batches</w:t>
            </w:r>
          </w:p>
        </w:tc>
        <w:tc>
          <w:tcPr>
            <w:tcW w:w="0" w:type="auto"/>
          </w:tcPr>
          <w:p>
            <w:r>
              <w:rPr/>
              <w:t xml:space="preserve">POST and GET collection; GET /{id}</w:t>
            </w:r>
          </w:p>
        </w:tc>
        <w:tc>
          <w:tcPr>
            <w:tcW w:w="0" w:type="auto"/>
          </w:tcPr>
          <w:p>
            <w:r>
              <w:rPr/>
              <w:t xml:space="preserve">Admin submission and inspection of asynchronous interest batch requests</w:t>
            </w:r>
          </w:p>
        </w:tc>
      </w:tr>
      <w:tr>
        <w:tc>
          <w:tcPr>
            <w:tcW w:w="0" w:type="auto"/>
          </w:tcPr>
          <w:p>
            <w:r>
              <w:rPr/>
              <w:t xml:space="preserve">Notifications :8083 /api/notifications</w:t>
            </w:r>
          </w:p>
        </w:tc>
        <w:tc>
          <w:tcPr>
            <w:tcW w:w="0" w:type="auto"/>
          </w:tcPr>
          <w:p>
            <w:r>
              <w:rPr/>
              <w:t xml:space="preserve">GET collection</w:t>
            </w:r>
          </w:p>
        </w:tc>
        <w:tc>
          <w:tcPr>
            <w:tcW w:w="0" w:type="auto"/>
          </w:tcPr>
          <w:p>
            <w:r>
              <w:rPr/>
              <w:t xml:space="preserve">Authorized notification-history lookup, with role/ownership rules in controller</w:t>
            </w:r>
          </w:p>
        </w:tc>
      </w:tr>
      <w:tr>
        <w:tc>
          <w:tcPr>
            <w:tcW w:w="0" w:type="auto"/>
          </w:tcPr>
          <w:p>
            <w:r>
              <w:rPr/>
              <w:t xml:space="preserve">Statements :8082 /api/statements</w:t>
            </w:r>
          </w:p>
        </w:tc>
        <w:tc>
          <w:tcPr>
            <w:tcW w:w="0" w:type="auto"/>
          </w:tcPr>
          <w:p>
            <w:r>
              <w:rPr/>
              <w:t xml:space="preserve">GET /{account}; GET /summary/all</w:t>
            </w:r>
          </w:p>
        </w:tc>
        <w:tc>
          <w:tcPr>
            <w:tcW w:w="0" w:type="auto"/>
          </w:tcPr>
          <w:p>
            <w:r>
              <w:rPr/>
              <w:t xml:space="preserve">Staff statement/aggregate views over event-derived records</w:t>
            </w:r>
          </w:p>
        </w:tc>
      </w:tr>
      <w:tr>
        <w:tc>
          <w:tcPr>
            <w:tcW w:w="0" w:type="auto"/>
          </w:tcPr>
          <w:p>
            <w:r>
              <w:rPr/>
              <w:t xml:space="preserve">Optional assistant :8091 /api/assistant</w:t>
            </w:r>
          </w:p>
        </w:tc>
        <w:tc>
          <w:tcPr>
            <w:tcW w:w="0" w:type="auto"/>
          </w:tcPr>
          <w:p>
            <w:r>
              <w:rPr/>
              <w:t xml:space="preserve">POST /chat, /advisor, /risk-insight</w:t>
            </w:r>
          </w:p>
        </w:tc>
        <w:tc>
          <w:tcPr>
            <w:tcW w:w="0" w:type="auto"/>
          </w:tcPr>
          <w:p>
            <w:r>
              <w:rPr/>
              <w:t xml:space="preserve">Customer chat/advisor; officer/admin aggregate relation-net insight; local-only FastAPI service</w:t>
            </w:r>
          </w:p>
        </w:tc>
      </w:tr>
    </w:tbl>
    <w:p>
      <w:pPr>
        <w:pStyle w:val="Heading1"/>
      </w:pPr>
      <w:r>
        <w:t xml:space="preserve">6. Security and identity</w:t>
      </w:r>
    </w:p>
    <w:p>
      <w:r>
        <w:t xml:space="preserve">Auth issues HS256-signed access tokens with a configured issuer. Other Java services use security-common to validate signatures/issuer and map role claims to Spring authorities. The frontends attach bearer tokens through API client/interceptor code. Roles include CUSTOMER, BANK_OFFICER and ADMIN. Controller-level role annotations and account ownership checks apply in addition to authenticated transport. The `/api/auth/me` response provides the authenticated user record and user identifier for read-only display.</w:t>
      </w:r>
    </w:p>
    <w:p>
      <w:r>
        <w:t xml:space="preserve">The AI assistant validates the customer JWT and sends selected customer-facing context to a local Ollama model. Relation-net insight is based on aggregate counts/flags rather than person names or account identifiers. The AI service does not persist chat history or query banking service databases.</w:t>
      </w:r>
    </w:p>
    <w:p>
      <w:pPr>
        <w:pStyle w:val="Heading1"/>
      </w:pPr>
      <w:r>
        <w:t xml:space="preserve">7. Technology stack and major dependencies</w:t>
      </w:r>
    </w:p>
    <w:tbl>
      <w:tblPr>
        <w:tblW w:w="0" w:type="auto"/>
        <w:tblBorders>
          <w:top w:val="single" w:sz="4" w:color="B8C3D8"/>
          <w:left w:val="single" w:sz="4" w:color="B8C3D8"/>
          <w:bottom w:val="single" w:sz="4" w:color="B8C3D8"/>
          <w:right w:val="single" w:sz="4" w:color="B8C3D8"/>
          <w:insideH w:val="single" w:sz="4" w:color="B8C3D8"/>
          <w:insideV w:val="single" w:sz="4" w:color="B8C3D8"/>
        </w:tblBorders>
      </w:tblPr>
      <w:tr>
        <w:tc>
          <w:tcPr>
            <w:tcW w:w="0" w:type="auto"/>
            <w:shd w:fill="24345A"/>
          </w:tcPr>
          <w:p>
            <w:r>
              <w:rPr>
                <w:b/>
                <w:color w:val="FFFFFF"/>
              </w:rPr>
              <w:t xml:space="preserve">Area</w:t>
            </w:r>
          </w:p>
        </w:tc>
        <w:tc>
          <w:tcPr>
            <w:tcW w:w="0" w:type="auto"/>
            <w:shd w:fill="24345A"/>
          </w:tcPr>
          <w:p>
            <w:r>
              <w:rPr>
                <w:b/>
                <w:color w:val="FFFFFF"/>
              </w:rPr>
              <w:t xml:space="preserve">Technology</w:t>
            </w:r>
          </w:p>
        </w:tc>
        <w:tc>
          <w:tcPr>
            <w:tcW w:w="0" w:type="auto"/>
            <w:shd w:fill="24345A"/>
          </w:tcPr>
          <w:p>
            <w:r>
              <w:rPr>
                <w:b/>
                <w:color w:val="FFFFFF"/>
              </w:rPr>
              <w:t xml:space="preserve">Use</w:t>
            </w:r>
          </w:p>
        </w:tc>
      </w:tr>
      <w:tr>
        <w:tc>
          <w:tcPr>
            <w:tcW w:w="0" w:type="auto"/>
          </w:tcPr>
          <w:p>
            <w:r>
              <w:rPr/>
              <w:t xml:space="preserve">Frontend</w:t>
            </w:r>
          </w:p>
        </w:tc>
        <w:tc>
          <w:tcPr>
            <w:tcW w:w="0" w:type="auto"/>
          </w:tcPr>
          <w:p>
            <w:r>
              <w:rPr/>
              <w:t xml:space="preserve">Angular 22, TypeScript, RxJS, SCSS</w:t>
            </w:r>
          </w:p>
        </w:tc>
        <w:tc>
          <w:tcPr>
            <w:tcW w:w="0" w:type="auto"/>
          </w:tcPr>
          <w:p>
            <w:r>
              <w:rPr/>
              <w:t xml:space="preserve">Single-page interfaces, route guards, API clients and reactive HTTP</w:t>
            </w:r>
          </w:p>
        </w:tc>
      </w:tr>
      <w:tr>
        <w:tc>
          <w:tcPr>
            <w:tcW w:w="0" w:type="auto"/>
          </w:tcPr>
          <w:p>
            <w:r>
              <w:rPr/>
              <w:t xml:space="preserve">Backend</w:t>
            </w:r>
          </w:p>
        </w:tc>
        <w:tc>
          <w:tcPr>
            <w:tcW w:w="0" w:type="auto"/>
          </w:tcPr>
          <w:p>
            <w:r>
              <w:rPr/>
              <w:t xml:space="preserve">Java 21, Spring Boot 3.3.x, Maven</w:t>
            </w:r>
          </w:p>
        </w:tc>
        <w:tc>
          <w:tcPr>
            <w:tcW w:w="0" w:type="auto"/>
          </w:tcPr>
          <w:p>
            <w:r>
              <w:rPr/>
              <w:t xml:space="preserve">Independent REST services and service packaging</w:t>
            </w:r>
          </w:p>
        </w:tc>
      </w:tr>
      <w:tr>
        <w:tc>
          <w:tcPr>
            <w:tcW w:w="0" w:type="auto"/>
          </w:tcPr>
          <w:p>
            <w:r>
              <w:rPr/>
              <w:t xml:space="preserve">Security</w:t>
            </w:r>
          </w:p>
        </w:tc>
        <w:tc>
          <w:tcPr>
            <w:tcW w:w="0" w:type="auto"/>
          </w:tcPr>
          <w:p>
            <w:r>
              <w:rPr/>
              <w:t xml:space="preserve">Spring Security, shared JWT support, JJWT/Jackson libraries</w:t>
            </w:r>
          </w:p>
        </w:tc>
        <w:tc>
          <w:tcPr>
            <w:tcW w:w="0" w:type="auto"/>
          </w:tcPr>
          <w:p>
            <w:r>
              <w:rPr/>
              <w:t xml:space="preserve">Bearer-token validation, role mapping, access control</w:t>
            </w:r>
          </w:p>
        </w:tc>
      </w:tr>
      <w:tr>
        <w:tc>
          <w:tcPr>
            <w:tcW w:w="0" w:type="auto"/>
          </w:tcPr>
          <w:p>
            <w:r>
              <w:rPr/>
              <w:t xml:space="preserve">Persistence</w:t>
            </w:r>
          </w:p>
        </w:tc>
        <w:tc>
          <w:tcPr>
            <w:tcW w:w="0" w:type="auto"/>
          </w:tcPr>
          <w:p>
            <w:r>
              <w:rPr/>
              <w:t xml:space="preserve">MySQL 8, Spring Data JPA, Hibernate</w:t>
            </w:r>
          </w:p>
        </w:tc>
        <w:tc>
          <w:tcPr>
            <w:tcW w:w="0" w:type="auto"/>
          </w:tcPr>
          <w:p>
            <w:r>
              <w:rPr/>
              <w:t xml:space="preserve">Service-owned relational data and migrations</w:t>
            </w:r>
          </w:p>
        </w:tc>
      </w:tr>
      <w:tr>
        <w:tc>
          <w:tcPr>
            <w:tcW w:w="0" w:type="auto"/>
          </w:tcPr>
          <w:p>
            <w:r>
              <w:rPr/>
              <w:t xml:space="preserve">Messaging</w:t>
            </w:r>
          </w:p>
        </w:tc>
        <w:tc>
          <w:tcPr>
            <w:tcW w:w="0" w:type="auto"/>
          </w:tcPr>
          <w:p>
            <w:r>
              <w:rPr/>
              <w:t xml:space="preserve">Apache Kafka (Confluent 7.5 image), ZooKeeper</w:t>
            </w:r>
          </w:p>
        </w:tc>
        <w:tc>
          <w:tcPr>
            <w:tcW w:w="0" w:type="auto"/>
          </w:tcPr>
          <w:p>
            <w:r>
              <w:rPr/>
              <w:t xml:space="preserve">Outbox/event distribution, retries and projections</w:t>
            </w:r>
          </w:p>
        </w:tc>
      </w:tr>
      <w:tr>
        <w:tc>
          <w:tcPr>
            <w:tcW w:w="0" w:type="auto"/>
          </w:tcPr>
          <w:p>
            <w:r>
              <w:rPr/>
              <w:t xml:space="preserve">API docs</w:t>
            </w:r>
          </w:p>
        </w:tc>
        <w:tc>
          <w:tcPr>
            <w:tcW w:w="0" w:type="auto"/>
          </w:tcPr>
          <w:p>
            <w:r>
              <w:rPr/>
              <w:t xml:space="preserve">Springdoc OpenAPI / Swagger UI</w:t>
            </w:r>
          </w:p>
        </w:tc>
        <w:tc>
          <w:tcPr>
            <w:tcW w:w="0" w:type="auto"/>
          </w:tcPr>
          <w:p>
            <w:r>
              <w:rPr/>
              <w:t xml:space="preserve">Interactive endpoint documentation where configured</w:t>
            </w:r>
          </w:p>
        </w:tc>
      </w:tr>
      <w:tr>
        <w:tc>
          <w:tcPr>
            <w:tcW w:w="0" w:type="auto"/>
          </w:tcPr>
          <w:p>
            <w:r>
              <w:rPr/>
              <w:t xml:space="preserve">Optional AI</w:t>
            </w:r>
          </w:p>
        </w:tc>
        <w:tc>
          <w:tcPr>
            <w:tcW w:w="0" w:type="auto"/>
          </w:tcPr>
          <w:p>
            <w:r>
              <w:rPr/>
              <w:t xml:space="preserve">Python, FastAPI, HTTPX, Ollama local model</w:t>
            </w:r>
          </w:p>
        </w:tc>
        <w:tc>
          <w:tcPr>
            <w:tcW w:w="0" w:type="auto"/>
          </w:tcPr>
          <w:p>
            <w:r>
              <w:rPr/>
              <w:t xml:space="preserve">Chat, FD recommendation and risk insight endpoints</w:t>
            </w:r>
          </w:p>
        </w:tc>
      </w:tr>
      <w:tr>
        <w:tc>
          <w:tcPr>
            <w:tcW w:w="0" w:type="auto"/>
          </w:tcPr>
          <w:p>
            <w:r>
              <w:rPr/>
              <w:t xml:space="preserve">Local operations</w:t>
            </w:r>
          </w:p>
        </w:tc>
        <w:tc>
          <w:tcPr>
            <w:tcW w:w="0" w:type="auto"/>
          </w:tcPr>
          <w:p>
            <w:r>
              <w:rPr/>
              <w:t xml:space="preserve">Docker Compose, Mailpit, shell/PowerShell launchers</w:t>
            </w:r>
          </w:p>
        </w:tc>
        <w:tc>
          <w:tcPr>
            <w:tcW w:w="0" w:type="auto"/>
          </w:tcPr>
          <w:p>
            <w:r>
              <w:rPr/>
              <w:t xml:space="preserve">Development environment, email capture and startup automation</w:t>
            </w:r>
          </w:p>
        </w:tc>
      </w:tr>
    </w:tbl>
    <w:p>
      <w:r>
        <w:t xml:space="preserve">Java service dependencies include Spring Web, Validation, Security, Data JPA, Actuator and service-specific Kafka, mail, OpenAPI, JWT, export/reporting and database drivers. Angular dependencies are defined independently in each app package.json. Python dependencies are defined in ai-assistant/requirements.txt. Check each module POM/package manifest for exact pinned versions.</w:t>
      </w:r>
    </w:p>
    <w:p>
      <w:pPr>
        <w:pStyle w:val="Heading1"/>
      </w:pPr>
      <w:r>
        <w:t xml:space="preserve">8. Startup and usage</w:t>
      </w:r>
    </w:p>
    <w:p>
      <w:pPr>
        <w:pStyle w:val="ListBullet"/>
      </w:pPr>
      <w:r>
        <w:t xml:space="preserve">Install Java 21, Maven, Docker Compose, Node.js/npm. Keep a local .env for secrets and never commit credentials.</w:t>
      </w:r>
    </w:p>
    <w:p>
      <w:pPr>
        <w:pStyle w:val="ListBullet"/>
      </w:pPr>
      <w:r>
        <w:t xml:space="preserve">Build/install Auth_Sec/security-common before dependent Java modules, then package product, calculator, Auth and the FD reactor. See usage.md for the exact order.</w:t>
      </w:r>
    </w:p>
    <w:p>
      <w:pPr>
        <w:pStyle w:val="ListBullet"/>
      </w:pPr>
      <w:r>
        <w:t xml:space="preserve">From repository root, start the integrated stack with docker compose up -d --build. This creates MySQL, Kafka, ZooKeeper, Mailpit and all seven Java services.</w:t>
      </w:r>
    </w:p>
    <w:p>
      <w:pPr>
        <w:pStyle w:val="ListBullet"/>
      </w:pPr>
      <w:r>
        <w:t xml:space="preserve">Start the primary Angular app separately from uno-frontend (1)/uno-frontend using npm install and npm start; the default local URL is port 4200.</w:t>
      </w:r>
    </w:p>
    <w:p>
      <w:pPr>
        <w:pStyle w:val="ListBullet"/>
      </w:pPr>
      <w:r>
        <w:t xml:space="preserve">Optional assistant: run ai-assistant/start_local.py and provide an Ollama server/model. This Python process is not part of Docker Compose and is not needed for banking flows.</w:t>
      </w:r>
    </w:p>
    <w:p>
      <w:pPr>
        <w:pStyle w:val="ListBullet"/>
      </w:pPr>
      <w:r>
        <w:t xml:space="preserve">Inspect health endpoints and container logs after startup. For existing database volumes, apply relevant SQL migration scripts before depending on new schema changes.</w:t>
      </w:r>
    </w:p>
    <w:p>
      <w:pPr>
        <w:pStyle w:val="Heading1"/>
      </w:pPr>
      <w:r>
        <w:t xml:space="preserve">9. Testing and verification</w:t>
      </w:r>
    </w:p>
    <w:p>
      <w:r>
        <w:t xml:space="preserve">The repository contains Maven tests for JWT handling, Auth APIs, Product controller/service/security flows, calculator arithmetic, FD account lifecycle and accounting, outbox/event delivery, batch, notification and statement projections. Angular apps include selected unit specs and provide test/build scripts. The optional Python service has no maintained full automated test suite. Some integration tests require MySQL/Kafka or access to local services; isolated unit/MVC tests should run without the whole stack.</w:t>
      </w:r>
    </w:p>
    <w:p>
      <w:r>
        <w:t xml:space="preserve">Verification was run against this checkout on 26 October 2026. Product/pricing passed 45 Maven tests; Auth passed 15 tests (9 shared JWT and 6 Auth integration tests using the H2 test profile); the FD reactor passed 139 tests (event-common 8, account 80, batch 8, notification 34, statement 9); the standalone calculator passed 1 test; and the alternate Angular app passed 4 tests across 2 spec files. The primary Angular app test runner still reports “No test files found” despite spec files being present and listed in its include configuration, so that suite is not counted as passing. The AI assistant has no maintained automated test suite. These results validate automated tests only; they do not imply production infrastructure or external integrations were exercised.</w:t>
      </w:r>
    </w:p>
    <w:p>
      <w:pPr>
        <w:pStyle w:val="Heading1"/>
      </w:pPr>
      <w:r>
        <w:t xml:space="preserve">10. Operational boundaries and known limitations</w:t>
      </w:r>
    </w:p>
    <w:p>
      <w:pPr>
        <w:pStyle w:val="ListBullet"/>
      </w:pPr>
      <w:r>
        <w:t xml:space="preserve">A demonstration stack with local defaults is not production-ready; use secret management, HTTPS, hardened database/Kafka credentials, network policies, backups and monitoring before deployment.</w:t>
      </w:r>
    </w:p>
    <w:p>
      <w:pPr>
        <w:pStyle w:val="ListBullet"/>
      </w:pPr>
      <w:r>
        <w:t xml:space="preserve">The business clock is a test/demo control and should not be treated as a real settlement clock.</w:t>
      </w:r>
    </w:p>
    <w:p>
      <w:pPr>
        <w:pStyle w:val="ListBullet"/>
      </w:pPr>
      <w:r>
        <w:t xml:space="preserve">Statements are asynchronous projections and may lag events; the account/ledger database remains authoritative.</w:t>
      </w:r>
    </w:p>
    <w:p>
      <w:pPr>
        <w:pStyle w:val="ListBullet"/>
      </w:pPr>
      <w:r>
        <w:t xml:space="preserve">Email/WhatsApp delivery depends on provider settings. Mailpit is for local development; WhatsApp may be in mock mode without Twilio configuration.</w:t>
      </w:r>
    </w:p>
    <w:p>
      <w:pPr>
        <w:pStyle w:val="ListBullet"/>
      </w:pPr>
      <w:r>
        <w:t xml:space="preserve">AI output is advisory and not a credit decision, guaranteed return, or transaction instruction. Model availability is local and optional.</w:t>
      </w:r>
    </w:p>
    <w:p>
      <w:pPr>
        <w:pStyle w:val="ListBullet"/>
      </w:pPr>
      <w:r>
        <w:t xml:space="preserve">The system does not perform external deposit funding, payment settlement, or transfers for withdrawals.</w:t>
      </w:r>
    </w:p>
    <w:p>
      <w:pPr>
        <w:pStyle w:val="Heading1"/>
      </w:pPr>
      <w:r>
        <w:t xml:space="preserve">11. Repository references</w:t>
      </w:r>
    </w:p>
    <w:p>
      <w:pPr>
        <w:pStyle w:val="ListBullet"/>
      </w:pPr>
      <w:r>
        <w:t xml:space="preserve">README.md — overall project map and startup overview.</w:t>
      </w:r>
    </w:p>
    <w:p>
      <w:pPr>
        <w:pStyle w:val="ListBullet"/>
      </w:pPr>
      <w:r>
        <w:t xml:space="preserve">usage.md — build order, startup and configuration.</w:t>
      </w:r>
    </w:p>
    <w:p>
      <w:pPr>
        <w:pStyle w:val="ListBullet"/>
      </w:pPr>
      <w:r>
        <w:t xml:space="preserve">endpoints.md — expanded route inventory.</w:t>
      </w:r>
    </w:p>
    <w:p>
      <w:pPr>
        <w:pStyle w:val="ListBullet"/>
      </w:pPr>
      <w:r>
        <w:t xml:space="preserve">Auth_Sec/README.md; banking-product-backend/README.md; fd_calc/mod 4 backend/README.md.</w:t>
      </w:r>
    </w:p>
    <w:p>
      <w:pPr>
        <w:pStyle w:val="ListBullet"/>
      </w:pPr>
      <w:r>
        <w:t xml:space="preserve">FD_Module_Group9/README.md and service-specific backend.md files.</w:t>
      </w:r>
    </w:p>
    <w:p>
      <w:pPr>
        <w:pStyle w:val="ListBullet"/>
      </w:pPr>
      <w:r>
        <w:t xml:space="preserve">ai-assistant/README.md — optional AI service behavior and setup.</w:t>
      </w:r>
    </w:p>
    <w:sectPr>
      <w:pgSz w:w="12240" w:h="15840"/>
      <w:pgMar w:top="900" w:right="900" w:bottom="900" w:left="90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360" w:hanging="180"/>
      </w:pPr>
    </w:lvl>
  </w:abstractNum>
  <w:num w:numId="1">
    <w:abstractNumId w:val="0"/>
  </w:num>
</w:numbering>
</file>

<file path=word/styles.xml><?xml version="1.0" encoding="utf-8"?>
<w:styles xmlns:w="http://schemas.openxmlformats.org/wordprocessingml/2006/main">
  <w:docDefaults>
    <w:rPrDefault>
      <w:rPr>
        <w:rFonts w:ascii="Aptos" w:hAnsi="Aptos"/>
        <w:sz w:val="20"/>
      </w:rPr>
    </w:rPrDefault>
    <w:pPrDefault>
      <w:pPr>
        <w:spacing w:after="120" w:line="280" w:lineRule="auto"/>
      </w:pPr>
    </w:pPrDefault>
  </w:docDefaults>
  <w:style w:type="paragraph" w:default="1" w:styleId="Normal">
    <w:name w:val="Normal"/>
    <w:rPr>
      <w:rFonts w:ascii="Aptos" w:hAnsi="Aptos"/>
      <w:sz w:val="20"/>
    </w:rPr>
  </w:style>
  <w:style w:type="paragraph" w:styleId="Title">
    <w:name w:val="Title"/>
    <w:pPr>
      <w:spacing w:before="1800" w:after="250"/>
    </w:pPr>
    <w:rPr>
      <w:b/>
      <w:color w:val="24345A"/>
      <w:sz w:val="44"/>
    </w:rPr>
  </w:style>
  <w:style w:type="paragraph" w:styleId="Subtitle">
    <w:name w:val="Subtitle"/>
    <w:rPr>
      <w:color w:val="268F9B"/>
      <w:sz w:val="30"/>
    </w:rPr>
  </w:style>
  <w:style w:type="paragraph" w:styleId="Heading1">
    <w:name w:val="heading 1"/>
    <w:basedOn w:val="Normal"/>
    <w:pPr>
      <w:keepNext/>
      <w:spacing w:before="340" w:after="160"/>
    </w:pPr>
    <w:rPr>
      <w:b/>
      <w:color w:val="24345A"/>
      <w:sz w:val="30"/>
    </w:rPr>
  </w:style>
  <w:style w:type="paragraph" w:styleId="Heading2">
    <w:name w:val="heading 2"/>
    <w:basedOn w:val="Normal"/>
    <w:pPr>
      <w:keepNext/>
      <w:spacing w:before="240" w:after="100"/>
    </w:pPr>
    <w:rPr>
      <w:b/>
      <w:color w:val="268F9B"/>
      <w:sz w:val="23"/>
    </w:rPr>
  </w:style>
  <w:style w:type="paragraph" w:styleId="ListBullet">
    <w:name w:val="List Bullet"/>
    <w:basedOn w:val="Normal"/>
    <w:pPr>
      <w:ind w:left="360" w:hanging="180"/>
      <w:numPr>
        <w:ilvl w:val="0"/>
        <w:numId w:val="1"/>
      </w:numPr>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