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pPr>
      <w:r>
        <w:rPr>
          <w:b w:val="0"/>
        </w:rPr>
      </w:r>
    </w:p>
    <w:p>
      <w:pPr>
        <w:pStyle w:val="Normal"/>
      </w:pPr>
      <w:r>
        <w:rPr>
          <w:b w:val="0"/>
        </w:rPr>
      </w:r>
    </w:p>
    <w:p>
      <w:pPr>
        <w:pStyle w:val="Normal"/>
      </w:pPr>
      <w:r>
        <w:rPr>
          <w:b w:val="0"/>
        </w:rPr>
      </w:r>
    </w:p>
    <w:p>
      <w:pPr>
        <w:pStyle w:val="Normal"/>
      </w:pPr>
      <w:r>
        <w:rPr>
          <w:b w:val="0"/>
        </w:rPr>
      </w:r>
    </w:p>
    <w:p>
      <w:pPr>
        <w:pStyle w:val="Normal"/>
        <w:jc w:val="center"/>
      </w:pPr>
      <w:r>
        <w:rPr>
          <w:b/>
        </w:rPr>
        <w:t>BANKING TECHNOLOGY LAB</w:t>
      </w:r>
    </w:p>
    <w:p>
      <w:pPr>
        <w:pStyle w:val="Title"/>
        <w:jc w:val="center"/>
      </w:pPr>
      <w:r>
        <w:t>FIXED DEPOSIT MODULE</w:t>
      </w:r>
    </w:p>
    <w:p>
      <w:pPr>
        <w:pStyle w:val="Normal"/>
        <w:jc w:val="center"/>
      </w:pPr>
      <w:r>
        <w:rPr>
          <w:b w:val="0"/>
          <w:sz w:val="36"/>
        </w:rPr>
        <w:t>Labs L14 and L17 Implementation Report</w:t>
      </w:r>
    </w:p>
    <w:p>
      <w:pPr>
        <w:pStyle w:val="Normal"/>
        <w:jc w:val="center"/>
      </w:pPr>
      <w:r>
        <w:rPr>
          <w:b w:val="0"/>
        </w:rPr>
        <w:t>Interest Calculation Engine Daily Batch Scheduler</w:t>
        <w:br/>
        <w:t>Statement Generation and Angular Dashboard</w:t>
      </w:r>
    </w:p>
    <w:p>
      <w:pPr>
        <w:pStyle w:val="Normal"/>
      </w:pPr>
      <w:r>
        <w:rPr>
          <w:b w:val="0"/>
        </w:rPr>
      </w:r>
    </w:p>
    <w:p>
      <w:pPr>
        <w:pStyle w:val="Normal"/>
        <w:jc w:val="center"/>
      </w:pPr>
      <w:r>
        <w:rPr>
          <w:b w:val="0"/>
          <w:i/>
        </w:rPr>
        <w:t>Made by Parth Gupta</w:t>
      </w:r>
    </w:p>
    <w:p>
      <w:pPr>
        <w:pStyle w:val="Normal"/>
        <w:jc w:val="center"/>
      </w:pPr>
      <w:r>
        <w:rPr>
          <w:b w:val="0"/>
        </w:rPr>
        <w:t>Group 9 Banking Technology Lab</w:t>
      </w:r>
    </w:p>
    <w:p>
      <w:pPr>
        <w:pStyle w:val="Normal"/>
      </w:pPr>
      <w:r>
        <w:rPr>
          <w:b w:val="0"/>
        </w:rPr>
      </w:r>
    </w:p>
    <w:tbl>
      <w:tblPr>
        <w:tblW w:type="auto" w:w="0"/>
        <w:tblLayout w:type="fixed"/>
        <w:tblLook w:firstColumn="1" w:firstRow="1" w:lastColumn="0" w:lastRow="0" w:noHBand="0" w:noVBand="1" w:val="04A0"/>
      </w:tblPr>
      <w:tblGrid>
        <w:gridCol w:w="2304"/>
        <w:gridCol w:w="7776"/>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Item</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Detail</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Project folder</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parth-fd-l14-l17</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Baseline</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Vritika L12/L13 and Anirudh L16</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Report date</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11 October 2026</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Architecture</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Three backend microservices, Angular, Apache Kafka and separate database schemas</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Validation</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52 automated tests passed; Angular template and bundle checks passed; browser sign-in and calculation verified</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Remaining deployment check</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Native MySQL demo needs actual local database credentials; Kafka delivery has been verified</w:t>
            </w:r>
          </w:p>
        </w:tc>
      </w:tr>
    </w:tbl>
    <w:p>
      <w:pPr>
        <w:pStyle w:val="Normal"/>
      </w:pPr>
      <w:r>
        <w:rPr>
          <w:b w:val="0"/>
        </w:rPr>
      </w:r>
    </w:p>
    <w:p>
      <w:pPr>
        <w:pStyle w:val="Heading1"/>
        <w:pageBreakBefore/>
      </w:pPr>
      <w:r>
        <w:t>1 Contents Objective and Assigned Responsibilities</w:t>
      </w:r>
    </w:p>
    <w:tbl>
      <w:tblPr>
        <w:tblW w:type="auto" w:w="0"/>
        <w:tblLayout w:type="fixed"/>
        <w:tblLook w:firstColumn="1" w:firstRow="1" w:lastColumn="0" w:lastRow="0" w:noHBand="0" w:noVBand="1" w:val="04A0"/>
      </w:tblPr>
      <w:tblGrid>
        <w:gridCol w:w="9072"/>
        <w:gridCol w:w="1008"/>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Chapter</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Page</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 Contents Objective and Assigned Responsibilities</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2</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2 Architecture and Event Driven Flow</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3</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3 Existing Project Structure and Preservation</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4</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4 Interest Formulas and Banking Date Rules</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 Daily Processing Payout and Reliability</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6</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6 FD Database Additions</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7</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7 Statement Database and Event Contracts</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8</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8 REST API Contracts and Security</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9</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9 Angular Interest and Statement Dashboard</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10</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10 Setup Build and Demonstration</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11</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11 Tests and Actual Verification Results</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12</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12 Integration and Next Developer Handover</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13</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13 Assumptions Limitations and Scope Boundary</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14</w:t>
            </w:r>
          </w:p>
        </w:tc>
      </w:tr>
      <w:tr>
        <w:trPr>
          <w:cantSplit/>
        </w:trPr>
        <w:tc>
          <w:tcPr>
            <w:tcW w:type="dxa" w:w="90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14 References and Source Decisions</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15</w:t>
            </w:r>
          </w:p>
        </w:tc>
      </w:tr>
    </w:tbl>
    <w:p>
      <w:pPr>
        <w:pStyle w:val="Normal"/>
      </w:pPr>
      <w:r>
        <w:rPr>
          <w:b w:val="0"/>
        </w:rPr>
      </w:r>
    </w:p>
    <w:p>
      <w:pPr>
        <w:pStyle w:val="Normal"/>
      </w:pPr>
      <w:r>
        <w:rPr>
          <w:b w:val="0"/>
        </w:rPr>
        <w:t>My contribution extends the completed FD creation and initial transaction work with interest calculation, daily processing, statements and an administrator dashboard. The next developer receives source code, deployment configuration, reproducible tests and integration guidance.</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Assignment from the supplied image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Delivered in</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 Calculation Engine L14</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InterestEngine and quote API</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Daily Interest Batch Scheduler L17</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DailyInterestScheduler at 03:00 Asia/Kolkata</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Statement Generation Service L17</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Independent statement-service event projection</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 and Statement Dashboard L14</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Angular administrator dashboard and manual payout request</w:t>
            </w:r>
          </w:p>
        </w:tc>
      </w:tr>
    </w:tbl>
    <w:p>
      <w:pPr>
        <w:pStyle w:val="Normal"/>
      </w:pPr>
      <w:r>
        <w:rPr>
          <w:b w:val="0"/>
        </w:rPr>
      </w:r>
    </w:p>
    <w:p>
      <w:pPr>
        <w:pStyle w:val="Heading1"/>
        <w:pageBreakBefore/>
      </w:pPr>
      <w:r>
        <w:t>2 Architecture and Event Driven Flow</w:t>
      </w:r>
    </w:p>
    <w:p>
      <w:pPr>
        <w:pStyle w:val="Normal"/>
      </w:pPr>
      <w:r>
        <w:rPr>
          <w:b w:val="0"/>
        </w:rPr>
        <w:t>The FD account service remains the authority for customer deposits, interest state, accrual records and financial transactions. The batch service owns schedules and requests. The statement service owns its own read database and never writes account balances. Keeping interest posting within the FD transaction avoids splitting a money update across databases.</w:t>
      </w:r>
    </w:p>
    <w:p>
      <w:pPr>
        <w:pStyle w:val="Normal"/>
        <w:spacing w:after="160"/>
      </w:pPr>
      <w:r>
        <w:rPr>
          <w:b w:val="0"/>
        </w:rPr>
      </w:r>
      <w:r>
        <w:rPr>
          <w:rFonts w:ascii="Consolas" w:hAnsi="Consolas"/>
          <w:sz w:val="17"/>
        </w:rPr>
        <w:t>Angular dashboard :4200</w:t>
        <w:br/>
      </w:r>
      <w:r>
        <w:rPr>
          <w:rFonts w:ascii="Consolas" w:hAnsi="Consolas"/>
          <w:sz w:val="17"/>
        </w:rPr>
        <w:t xml:space="preserve">  | same origin HTTP through Node local server</w:t>
        <w:br/>
      </w:r>
      <w:r>
        <w:rPr>
          <w:rFonts w:ascii="Consolas" w:hAnsi="Consolas"/>
          <w:sz w:val="17"/>
        </w:rPr>
        <w:t xml:space="preserve">  +--&gt; FD account service :8080 --&gt; FD MySQL</w:t>
        <w:br/>
      </w:r>
      <w:r>
        <w:rPr>
          <w:rFonts w:ascii="Consolas" w:hAnsi="Consolas"/>
          <w:sz w:val="17"/>
        </w:rPr>
        <w:t xml:space="preserve">  +--&gt; Interest batch service :8081 --&gt; Batch MySQL</w:t>
        <w:br/>
      </w:r>
      <w:r>
        <w:rPr>
          <w:rFonts w:ascii="Consolas" w:hAnsi="Consolas"/>
          <w:sz w:val="17"/>
        </w:rPr>
        <w:t xml:space="preserve">  +--&gt; Statement service :8082 --&gt; Statement MySQL</w:t>
        <w:br/>
      </w:r>
      <w:r>
        <w:rPr>
          <w:rFonts w:ascii="Consolas" w:hAnsi="Consolas"/>
          <w:sz w:val="17"/>
        </w:rPr>
        <w:br/>
      </w:r>
      <w:r>
        <w:rPr>
          <w:rFonts w:ascii="Consolas" w:hAnsi="Consolas"/>
          <w:sz w:val="17"/>
        </w:rPr>
        <w:t>Batch outbox --&gt; Apache Kafka --&gt; FD command consumer</w:t>
        <w:br/>
      </w:r>
      <w:r>
        <w:rPr>
          <w:rFonts w:ascii="Consolas" w:hAnsi="Consolas"/>
          <w:sz w:val="17"/>
        </w:rPr>
        <w:t>FD posting + outbox COMMIT --&gt; Apache Kafka</w:t>
        <w:br/>
      </w:r>
      <w:r>
        <w:rPr>
          <w:rFonts w:ascii="Consolas" w:hAnsi="Consolas"/>
          <w:sz w:val="17"/>
        </w:rPr>
        <w:t xml:space="preserve">  +--&gt; Interest events --&gt; Statement projection</w:t>
        <w:br/>
      </w:r>
      <w:r>
        <w:rPr>
          <w:rFonts w:ascii="Consolas" w:hAnsi="Consolas"/>
          <w:sz w:val="17"/>
        </w:rPr>
        <w:t xml:space="preserve">  +--&gt; Completion events --&gt; Batch request status</w:t>
        <w:br/>
      </w:r>
    </w:p>
    <w:tbl>
      <w:tblPr>
        <w:tblW w:type="auto" w:w="0"/>
        <w:tblLayout w:type="fixed"/>
        <w:tblLook w:firstColumn="1" w:firstRow="1" w:lastColumn="0" w:lastRow="0" w:noHBand="0" w:noVBand="1" w:val="04A0"/>
      </w:tblPr>
      <w:tblGrid>
        <w:gridCol w:w="3024"/>
        <w:gridCol w:w="7056"/>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Deployable service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Owns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fd-account-service</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Original FD APIs, interest engine, balance state, ledger, command consumer and outbox</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interest-batch-service</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03:00 schedule, manual batch/payout requests, request status and outbox</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statement-service</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Idempotent event consumer, statements and summaries by currency</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interest-dashboard</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Angular presentation, calculator, batch/payout controls and statement viewer</w:t>
            </w:r>
          </w:p>
        </w:tc>
      </w:tr>
    </w:tbl>
    <w:p>
      <w:pPr>
        <w:pStyle w:val="Normal"/>
      </w:pPr>
      <w:r>
        <w:rPr>
          <w:b w:val="0"/>
        </w:rPr>
      </w:r>
    </w:p>
    <w:p>
      <w:pPr>
        <w:pStyle w:val="Normal"/>
      </w:pPr>
      <w:r>
        <w:rPr>
          <w:b w:val="0"/>
        </w:rPr>
        <w:t>Kafka uses six named topics and three independent consumer groups. Each topic has a matching .DLT destination. Delivery is at least once. Application transactions and uniqueness checks make processing repeat-safe; the report does not claim exactly-once transport.</w:t>
      </w:r>
    </w:p>
    <w:p>
      <w:pPr>
        <w:pStyle w:val="Normal"/>
      </w:pPr>
      <w:r>
        <w:rPr>
          <w:b w:val="0"/>
        </w:rPr>
        <w:t>All services are independently packaged and deployed as Java processes. Each owns a separate MySQL schema that can reside on its own server. Service credentials should be limited to its schema. A shared event library carries infrastructure and contracts, not shared database access.</w:t>
      </w:r>
    </w:p>
    <w:p>
      <w:pPr>
        <w:pStyle w:val="Heading1"/>
        <w:pageBreakBefore/>
      </w:pPr>
      <w:r>
        <w:t>3 Existing Project Structure and Preservation</w:t>
      </w:r>
    </w:p>
    <w:p>
      <w:pPr>
        <w:pStyle w:val="Normal"/>
      </w:pPr>
      <w:r>
        <w:rPr>
          <w:b w:val="0"/>
        </w:rPr>
        <w:t>The starting point is Anirudh’s fd-module-l16 ZIP, which already contains Vritika’s L12/L13 code. The original 18 L12/L13 Java files and all existing L16 Java files are preserved. New interest code is placed under com.example.fdmodule.interest. The FD Maven build now joins the root reactor and adds the shared event library.</w:t>
      </w:r>
    </w:p>
    <w:p>
      <w:pPr>
        <w:pStyle w:val="Normal"/>
        <w:spacing w:after="160"/>
      </w:pPr>
      <w:r>
        <w:rPr>
          <w:b w:val="0"/>
        </w:rPr>
      </w:r>
      <w:r>
        <w:rPr>
          <w:rFonts w:ascii="Consolas" w:hAnsi="Consolas"/>
          <w:sz w:val="17"/>
        </w:rPr>
        <w:t>parth-fd-l14-l17/</w:t>
        <w:br/>
      </w:r>
      <w:r>
        <w:rPr>
          <w:rFonts w:ascii="Consolas" w:hAnsi="Consolas"/>
          <w:sz w:val="17"/>
        </w:rPr>
        <w:t xml:space="preserve">  pom.xml                   Maven reactor</w:t>
        <w:br/>
      </w:r>
      <w:r>
        <w:rPr>
          <w:rFonts w:ascii="Consolas" w:hAnsi="Consolas"/>
          <w:sz w:val="17"/>
        </w:rPr>
        <w:t xml:space="preserve">  event-common/             Events outbox topology relay</w:t>
        <w:br/>
      </w:r>
      <w:r>
        <w:rPr>
          <w:rFonts w:ascii="Consolas" w:hAnsi="Consolas"/>
          <w:sz w:val="17"/>
        </w:rPr>
        <w:t xml:space="preserve">  fd-account-service/       Existing module + interest package</w:t>
        <w:br/>
      </w:r>
      <w:r>
        <w:rPr>
          <w:rFonts w:ascii="Consolas" w:hAnsi="Consolas"/>
          <w:sz w:val="17"/>
        </w:rPr>
        <w:t xml:space="preserve">    sql/                    Base L16 and L14/L17 scripts</w:t>
        <w:br/>
      </w:r>
      <w:r>
        <w:rPr>
          <w:rFonts w:ascii="Consolas" w:hAnsi="Consolas"/>
          <w:sz w:val="17"/>
        </w:rPr>
        <w:t xml:space="preserve">  interest-batch-service/   Schedule requests result consumer</w:t>
        <w:br/>
      </w:r>
      <w:r>
        <w:rPr>
          <w:rFonts w:ascii="Consolas" w:hAnsi="Consolas"/>
          <w:sz w:val="17"/>
        </w:rPr>
        <w:t xml:space="preserve">  statement-service/        Projection database and API</w:t>
        <w:br/>
      </w:r>
      <w:r>
        <w:rPr>
          <w:rFonts w:ascii="Consolas" w:hAnsi="Consolas"/>
          <w:sz w:val="17"/>
        </w:rPr>
        <w:t xml:space="preserve">  interest-dashboard/       Angular source and lockfile</w:t>
        <w:br/>
      </w:r>
      <w:r>
        <w:rPr>
          <w:rFonts w:ascii="Consolas" w:hAnsi="Consolas"/>
          <w:sz w:val="17"/>
        </w:rPr>
        <w:t xml:space="preserve">  scripts/                  Demo and verification scripts</w:t>
        <w:br/>
      </w:r>
      <w:r>
        <w:rPr>
          <w:rFonts w:ascii="Consolas" w:hAnsi="Consolas"/>
          <w:sz w:val="17"/>
        </w:rPr>
        <w:t xml:space="preserve">  docs/                     Handover contracts evidence references</w:t>
        <w:br/>
      </w:r>
      <w:r>
        <w:rPr>
          <w:rFonts w:ascii="Consolas" w:hAnsi="Consolas"/>
          <w:sz w:val="17"/>
        </w:rPr>
        <w:t xml:space="preserve">  artifacts/                Built service JARs and dashboard bundle</w:t>
        <w:br/>
      </w:r>
      <w:r>
        <w:rPr>
          <w:rFonts w:ascii="Consolas" w:hAnsi="Consolas"/>
          <w:sz w:val="17"/>
        </w:rPr>
        <w:t xml:space="preserve">  scripts/local.env.ps1     Local runtime configuration</w:t>
        <w:br/>
      </w:r>
    </w:p>
    <w:tbl>
      <w:tblPr>
        <w:tblW w:type="auto" w:w="0"/>
        <w:tblLayout w:type="fixed"/>
        <w:tblLook w:firstColumn="1" w:firstRow="1" w:lastColumn="0" w:lastRow="0" w:noHBand="0" w:noVBand="1" w:val="04A0"/>
      </w:tblPr>
      <w:tblGrid>
        <w:gridCol w:w="3888"/>
        <w:gridCol w:w="6192"/>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Class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Responsibility</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InterestEngine</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Simple/monthly quote and ACTUAL/365 daily arithmetic</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InterestPostingService</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Account lock, catch-up, capitalization, payout and atomic outbox</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InterestCommandListener</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Consume commands, report terminal business failures</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InterestController</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Quote, account summaries and pre-accrual mode selection</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BatchService and DailyInterestScheduler</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Durable requests and previous-day processing at 03:00</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StatementService and StatementListener</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Merge committed interest events and ignore replays</w:t>
            </w:r>
          </w:p>
        </w:tc>
      </w:tr>
      <w:tr>
        <w:trPr>
          <w:cantSplit/>
        </w:trPr>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Outbox and EventInfrastructure</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Transactional event recording, topology and confirmed relay</w:t>
            </w:r>
          </w:p>
        </w:tc>
      </w:tr>
    </w:tbl>
    <w:p>
      <w:pPr>
        <w:pStyle w:val="Normal"/>
      </w:pPr>
      <w:r>
        <w:rPr>
          <w:b w:val="0"/>
        </w:rPr>
      </w:r>
    </w:p>
    <w:p>
      <w:pPr>
        <w:pStyle w:val="Normal"/>
      </w:pPr>
      <w:r>
        <w:rPr>
          <w:b w:val="0"/>
        </w:rPr>
        <w:t>Existing /api/fd/account/create-with-txn still creates the FD and initial DEPOSIT. The old /create endpoint retains its original behavior and therefore still creates no deposit ledger row. New client integrations should use create-with-txn.</w:t>
      </w:r>
    </w:p>
    <w:p>
      <w:pPr>
        <w:pStyle w:val="Heading1"/>
        <w:pageBreakBefore/>
      </w:pPr>
      <w:r>
        <w:t>4 Interest Formulas and Banking Date Rules</w:t>
      </w:r>
    </w:p>
    <w:p>
      <w:pPr>
        <w:pStyle w:val="Heading2"/>
      </w:pPr>
      <w:r>
        <w:t>4.1 Quotation formulas</w:t>
      </w:r>
    </w:p>
    <w:p>
      <w:pPr>
        <w:pStyle w:val="Normal"/>
      </w:pPr>
      <w:r>
        <w:rPr>
          <w:b w:val="0"/>
        </w:rPr>
        <w:t>Let P be principal, r the annual percentage rate and m tenure in months. The quote endpoint accepts a positive principal, r between 0 and 100, and m from 1 to 1200. Calculations use BigDecimal with DECIMAL128 intermediate precision and HALF_UP rounding to two decimal places.</w:t>
      </w:r>
    </w:p>
    <w:p>
      <w:pPr>
        <w:pStyle w:val="Normal"/>
        <w:spacing w:after="160"/>
      </w:pPr>
      <w:r>
        <w:rPr>
          <w:b w:val="0"/>
        </w:rPr>
      </w:r>
      <w:r>
        <w:rPr>
          <w:rFonts w:ascii="Consolas" w:hAnsi="Consolas"/>
          <w:sz w:val="17"/>
        </w:rPr>
        <w:t>SIMPLE maturity = P + P * r * m / 1200</w:t>
        <w:br/>
      </w:r>
      <w:r>
        <w:rPr>
          <w:rFonts w:ascii="Consolas" w:hAnsi="Consolas"/>
          <w:sz w:val="17"/>
        </w:rPr>
        <w:t>MONTHLY_COMPOUND maturity = P * (1 + r / 1200)^m</w:t>
        <w:br/>
      </w:r>
      <w:r>
        <w:rPr>
          <w:rFonts w:ascii="Consolas" w:hAnsi="Consolas"/>
          <w:sz w:val="17"/>
        </w:rPr>
        <w:t>Interest = maturity - principal</w:t>
        <w:br/>
      </w:r>
    </w:p>
    <w:tbl>
      <w:tblPr>
        <w:tblW w:type="auto" w:w="0"/>
        <w:tblLayout w:type="fixed"/>
        <w:tblLook w:firstColumn="1" w:firstRow="1" w:lastColumn="0" w:lastRow="0" w:noHBand="0" w:noVBand="1" w:val="04A0"/>
      </w:tblPr>
      <w:tblGrid>
        <w:gridCol w:w="4320"/>
        <w:gridCol w:w="2880"/>
        <w:gridCol w:w="2880"/>
      </w:tblGrid>
      <w:tr>
        <w:trPr>
          <w:cantSplit/>
          <w:tblHeader/>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Input</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Simple</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Monthly compound</w:t>
            </w:r>
          </w:p>
        </w:tc>
      </w:tr>
      <w:tr>
        <w:trPr>
          <w:cantSplit/>
        </w:trPr>
        <w:tc>
          <w:tcPr>
            <w:tcW w:type="dxa" w:w="432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 = 100000 r = 12 m = 12</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112000.00</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112682.50</w:t>
            </w:r>
          </w:p>
        </w:tc>
      </w:tr>
      <w:tr>
        <w:trPr>
          <w:cantSplit/>
        </w:trPr>
        <w:tc>
          <w:tcPr>
            <w:tcW w:type="dxa" w:w="432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 earned</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12000.00</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12682.50</w:t>
            </w:r>
          </w:p>
        </w:tc>
      </w:tr>
    </w:tbl>
    <w:p>
      <w:pPr>
        <w:pStyle w:val="Normal"/>
      </w:pPr>
      <w:r>
        <w:rPr>
          <w:b w:val="0"/>
        </w:rPr>
      </w:r>
    </w:p>
    <w:p>
      <w:pPr>
        <w:pStyle w:val="Heading2"/>
      </w:pPr>
      <w:r>
        <w:t>4.2 Posted daily interest</w:t>
      </w:r>
    </w:p>
    <w:p>
      <w:pPr>
        <w:pStyle w:val="Normal"/>
        <w:spacing w:after="160"/>
      </w:pPr>
      <w:r>
        <w:rPr>
          <w:b w:val="0"/>
        </w:rPr>
      </w:r>
      <w:r>
        <w:rPr>
          <w:rFonts w:ascii="Consolas" w:hAnsi="Consolas"/>
          <w:sz w:val="17"/>
        </w:rPr>
        <w:t>Daily interest = interest bearing balance * annual rate / 36500</w:t>
        <w:br/>
      </w:r>
      <w:r>
        <w:rPr>
          <w:rFonts w:ascii="Consolas" w:hAnsi="Consolas"/>
          <w:sz w:val="17"/>
        </w:rPr>
        <w:t>Accrual precision = 6 decimal places HALF_UP</w:t>
        <w:br/>
      </w:r>
    </w:p>
    <w:p>
      <w:pPr>
        <w:pStyle w:val="Normal"/>
      </w:pPr>
      <w:r>
        <w:rPr>
          <w:b w:val="0"/>
        </w:rPr>
        <w:t>SIMPLE accrues on original principal. MONTHLY_COMPOUND accrues on current_balance. Earned interest remains in accrued_precise until it is capitalized or paid. Monthly capitalization moves the settled amount into current_balance; principal_amount never changes.</w:t>
      </w:r>
    </w:p>
    <w:p>
      <w:pPr>
        <w:pStyle w:val="Normal"/>
      </w:pPr>
      <w:r>
        <w:rPr>
          <w:b w:val="0"/>
        </w:rPr>
        <w:t>The calculator uses equal monthly periods for a quote. Actual postings use calendar days and a fixed denominator of 365, including leap years. The posted total can therefore differ from the quote. Both the API response and dashboard state that distinction.</w:t>
      </w:r>
    </w:p>
    <w:p>
      <w:pPr>
        <w:pStyle w:val="Heading2"/>
      </w:pPr>
      <w:r>
        <w:t>4.3 Dates and rounding</w:t>
      </w:r>
    </w:p>
    <w:p>
      <w:pPr>
        <w:pStyle w:val="Normal"/>
      </w:pPr>
      <w:r>
        <w:rPr>
          <w:b w:val="0"/>
        </w:rPr>
        <w:t>The account’s opening date is derived from created_at because the supplied baseline has no start_date column. Accrual includes the opening date and excludes maturity_date. The monthly anniversary comes from openingDate.plusMonths(n); a January 31 opening therefore uses February 28/29 and then March 31.</w:t>
      </w:r>
    </w:p>
    <w:p>
      <w:pPr>
        <w:pStyle w:val="Normal"/>
      </w:pPr>
      <w:r>
        <w:rPr>
          <w:b w:val="0"/>
        </w:rPr>
        <w:t>Capitalization settles the previous period before the anniversary day’s new accrual. Capitalization and payout round down to cents and retain the fraction in accrued_precise, preventing payment beyond earned interest. The original accrued_interest field remains a rounded compatibility mirror.</w:t>
      </w:r>
    </w:p>
    <w:p>
      <w:pPr>
        <w:pStyle w:val="Heading1"/>
        <w:pageBreakBefore/>
      </w:pPr>
      <w:r>
        <w:t>5 Daily Processing Payout and Reliability</w:t>
      </w:r>
    </w:p>
    <w:p>
      <w:pPr>
        <w:pStyle w:val="Heading2"/>
      </w:pPr>
      <w:r>
        <w:t>5.1 Daily schedule and catch up</w:t>
      </w:r>
    </w:p>
    <w:p>
      <w:pPr>
        <w:pStyle w:val="Normal"/>
      </w:pPr>
      <w:r>
        <w:rPr>
          <w:b w:val="0"/>
        </w:rPr>
        <w:t>At 03:00 Asia/Kolkata, DailyInterestScheduler requests the previous banking day. It records a deterministic daily request ID and a unique scheduler_guard row. This prevents multiple scheduler replicas enqueueing the same day. Processing only selects ACTIVE FD accounts.</w:t>
      </w:r>
    </w:p>
    <w:p>
      <w:pPr>
        <w:pStyle w:val="Normal"/>
      </w:pPr>
      <w:r>
        <w:rPr>
          <w:b w:val="0"/>
        </w:rPr>
        <w:t>For each account, the FD service locks the account row, creates interest state if required, and resumes from last_accrual_date + 1. It stops at the requested day or the day before maturity. Duplicate dates are protected by UNIQUE(fd_account_no, accrual_date). Catch-up is limited to 366 days per request; older accounts need staged requests.</w:t>
      </w:r>
    </w:p>
    <w:p>
      <w:pPr>
        <w:pStyle w:val="Heading2"/>
      </w:pPr>
      <w:r>
        <w:t>5.2 Interest payout</w:t>
      </w:r>
    </w:p>
    <w:p>
      <w:pPr>
        <w:pStyle w:val="Normal"/>
      </w:pPr>
      <w:r>
        <w:rPr>
          <w:b w:val="0"/>
        </w:rPr>
        <w:t>An administrator sends PAYOUT with an FD account and business date. The service catches up accrual, verifies the account is ACTIVE and before maturity, posts the payable accrued amount, marks pending accrual rows PAID and retains any sub-cent remainder. A repeated request ID cannot pay twice.</w:t>
      </w:r>
    </w:p>
    <w:p>
      <w:pPr>
        <w:pStyle w:val="Normal"/>
      </w:pPr>
      <w:r>
        <w:rPr>
          <w:b w:val="0"/>
        </w:rPr>
        <w:t>Monthly capitalized interest is already part of the FD balance and is not paid again by this operation. Customer settlement is represented by a demonstration GL entry; no real savings or payment service is called.</w:t>
      </w:r>
    </w:p>
    <w:tbl>
      <w:tblPr>
        <w:tblW w:type="auto" w:w="0"/>
        <w:tblLayout w:type="fixed"/>
        <w:tblLook w:firstColumn="1" w:firstRow="1" w:lastColumn="0" w:lastRow="0" w:noHBand="0" w:noVBand="1" w:val="04A0"/>
      </w:tblPr>
      <w:tblGrid>
        <w:gridCol w:w="2880"/>
        <w:gridCol w:w="3600"/>
        <w:gridCol w:w="3600"/>
      </w:tblGrid>
      <w:tr>
        <w:trPr>
          <w:cantSplit/>
          <w:tblHeader/>
        </w:trPr>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Posting</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Debit GL</w:t>
            </w:r>
          </w:p>
        </w:tc>
        <w:tc>
          <w:tcPr>
            <w:tcW w:type="dxa" w:w="336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Credit GL</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Monthly capitalization</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EXPENSE_INTEREST</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LIABILITY_FD_DEPOSITS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Manual interest payout</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EXPENSE_INTEREST</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ASSET_CUSTOMER_SETTLEMENT</w:t>
            </w:r>
          </w:p>
        </w:tc>
      </w:tr>
    </w:tbl>
    <w:p>
      <w:pPr>
        <w:pStyle w:val="Normal"/>
      </w:pPr>
      <w:r>
        <w:rPr>
          <w:b w:val="0"/>
        </w:rPr>
      </w:r>
    </w:p>
    <w:p>
      <w:pPr>
        <w:pStyle w:val="Heading2"/>
      </w:pPr>
      <w:r>
        <w:t>5.3 Transaction and messaging guarantees</w:t>
      </w:r>
    </w:p>
    <w:p>
      <w:pPr>
        <w:pStyle w:val="Normal"/>
      </w:pPr>
      <w:r>
        <w:rPr>
          <w:b w:val="0"/>
        </w:rPr>
        <w:t>Accrual rows, state updates, financial ledger inserts and outbox rows commit in one FD database transaction. A forced outbox failure rolls all interest changes back. The batch service similarly commits its request and command outbox together.</w:t>
      </w:r>
    </w:p>
    <w:p>
      <w:pPr>
        <w:pStyle w:val="Normal"/>
      </w:pPr>
      <w:r>
        <w:rPr>
          <w:b w:val="0"/>
        </w:rPr>
        <w:t>The relay sends JSON to a named Kafka topic with aggregateId as the key and acks=all. It marks the outbox delivered only after broker acknowledgment. Failed sends and timeouts leave the row pending. A crash after publishing can cause redelivery; request IDs and consumed_events make replay safe.</w:t>
      </w:r>
    </w:p>
    <w:p>
      <w:pPr>
        <w:pStyle w:val="Normal"/>
      </w:pPr>
      <w:r>
        <w:rPr>
          <w:b w:val="0"/>
        </w:rPr>
        <w:t>Consumers make one initial attempt and four retries with a one-second backoff, then publish to the original topic plus .DLT. Invalid event contracts go directly to DLT. Failed DLT publication stays retryable. Business validation failures produce a durable FAILED result; exhausted transient failures can remain QUEUED until operator recovery.</w:t>
      </w:r>
    </w:p>
    <w:p>
      <w:pPr>
        <w:pStyle w:val="Heading1"/>
        <w:pageBreakBefore/>
      </w:pPr>
      <w:r>
        <w:t>6 FD Database Additions</w:t>
      </w:r>
    </w:p>
    <w:p>
      <w:pPr>
        <w:pStyle w:val="Normal"/>
      </w:pPr>
      <w:r>
        <w:rPr>
          <w:b w:val="0"/>
        </w:rPr>
        <w:t>Run sql/l14_l17_interest.sql after the existing base and L16 scripts. It adds new tables without altering original Java entities or principal_amount. It is an initial installation script, not a versioned migration manager. Do not apply it blindly over independently developed interest tables.</w:t>
      </w:r>
    </w:p>
    <w:tbl>
      <w:tblPr>
        <w:tblW w:type="auto" w:w="0"/>
        <w:tblLayout w:type="fixed"/>
        <w:tblLook w:firstColumn="1" w:firstRow="1" w:lastColumn="0" w:lastRow="0" w:noHBand="0" w:noVBand="1" w:val="04A0"/>
      </w:tblPr>
      <w:tblGrid>
        <w:gridCol w:w="3456"/>
        <w:gridCol w:w="6624"/>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Table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Important fields and constraints</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fd_interest_state</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fd_account_no PK/FK; interest_mode; current_balance DECIMAL(18,2); accrued_precise DECIMAL(18,6); last_accrual_date; next_capitalization_date</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fd_interest_transactions</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id; fd_account_no FK; accrual_date; interest_amount and cumulative_interest DECIMAL(18,6); capitalized_flag; settlement_status; unique account/date</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processed_interest_requests</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request_id VARCHAR(36) PK; processed_at. Suppresses replayed batch and payout commands</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event_outbox</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event_id PK; routing_key; JSON payload; created_at; published_at; pending-delivery index</w:t>
            </w:r>
          </w:p>
        </w:tc>
      </w:tr>
    </w:tbl>
    <w:p>
      <w:pPr>
        <w:pStyle w:val="Normal"/>
      </w:pPr>
      <w:r>
        <w:rPr>
          <w:b w:val="0"/>
        </w:rPr>
      </w:r>
    </w:p>
    <w:p>
      <w:pPr>
        <w:pStyle w:val="Heading2"/>
      </w:pPr>
      <w:r>
        <w:t>6.1 State ownership</w:t>
      </w:r>
    </w:p>
    <w:p>
      <w:pPr>
        <w:pStyle w:val="Normal"/>
      </w:pPr>
      <w:r>
        <w:rPr>
          <w:b w:val="0"/>
        </w:rPr>
        <w:t>The original principal is the booked deposit. current_balance is principal plus capitalized interest. accrued_precise is earned but unsettled interest. The original fd_accounts.accrued_interest is updated to two decimals for compatibility. The interest state row is the authoritative balance source for future maturity/withdrawal integration.</w:t>
      </w:r>
    </w:p>
    <w:p>
      <w:pPr>
        <w:pStyle w:val="Normal"/>
      </w:pPr>
      <w:r>
        <w:rPr>
          <w:b w:val="0"/>
        </w:rPr>
        <w:t>Interest states begin in SIMPLE mode for legacy accounts. Administrators can select MONTHLY_COMPOUND before any accrual has been processed. Later changes are rejected. The supplied product uses QUARTERLY, but this assignment implements SIMPLE and MONTHLY_COMPOUND only; mode is an explicit additive choice rather than an implicit reinterpretation of the old product field.</w:t>
      </w:r>
    </w:p>
    <w:p>
      <w:pPr>
        <w:pStyle w:val="Heading2"/>
      </w:pPr>
      <w:r>
        <w:t>6.2 Accrual rows and the financial ledger</w:t>
      </w:r>
    </w:p>
    <w:p>
      <w:pPr>
        <w:pStyle w:val="Normal"/>
      </w:pPr>
      <w:r>
        <w:rPr>
          <w:b w:val="0"/>
        </w:rPr>
        <w:t>The daily accrual sub-ledger explains earned interest per business date. Pending rows become CAPITALIZED or PAID when settled. Sub-cent remainders remain authoritative in fd_interest_state; settlement_status records the settled batch of rows, not a separate allocation of the remainder to one row.</w:t>
      </w:r>
    </w:p>
    <w:p>
      <w:pPr>
        <w:pStyle w:val="Normal"/>
      </w:pPr>
      <w:r>
        <w:rPr>
          <w:b w:val="0"/>
        </w:rPr>
        <w:t>Financial settlement uses the inherited FDTransaction constructor and repository. Transaction type INTEREST stays within the existing VARCHAR(20) constraint; remarks identify capitalization or payout. The ledger remains append-only. There is no UPDATE or DELETE of prior financial transactions.</w:t>
      </w:r>
    </w:p>
    <w:p>
      <w:pPr>
        <w:pStyle w:val="Normal"/>
      </w:pPr>
      <w:r>
        <w:rPr>
          <w:b w:val="0"/>
        </w:rPr>
        <w:t>The team ER uses four decimal places in its interest table; this extension uses six to limit daily rounding drift. The team must reconcile that precision during schema integration. Existing nonzero accrued interest without a state row is rejected until reconciled, rather than recalculated silently.</w:t>
      </w:r>
    </w:p>
    <w:p>
      <w:pPr>
        <w:pStyle w:val="Heading1"/>
        <w:pageBreakBefore/>
      </w:pPr>
      <w:r>
        <w:t>7 Statement Database and Event Contracts</w:t>
      </w:r>
    </w:p>
    <w:p>
      <w:pPr>
        <w:pStyle w:val="Normal"/>
      </w:pPr>
      <w:r>
        <w:rPr>
          <w:b w:val="0"/>
        </w:rPr>
        <w:t>The statement service receives committed InterestAccrued and InterestPaid events. It stores one statement per FD account and banking date. Accrual, capitalization and payout amounts are merged into the same row; closing balance and outstanding interest come from the newest event snapshot. Late delivery does not overwrite newer snapshots.</w:t>
      </w:r>
    </w:p>
    <w:tbl>
      <w:tblPr>
        <w:tblW w:type="auto" w:w="0"/>
        <w:tblLayout w:type="fixed"/>
        <w:tblLook w:firstColumn="1" w:firstRow="1" w:lastColumn="0" w:lastRow="0" w:noHBand="0" w:noVBand="1" w:val="04A0"/>
      </w:tblPr>
      <w:tblGrid>
        <w:gridCol w:w="4032"/>
        <w:gridCol w:w="6048"/>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Statement column</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Meaning</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fd_account_no customer_id currency</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Snapshot identity from the committed event</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statement_date</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Business date rather than delivery date</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opening_balance</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Balance before capitalization for that day</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interest_accrued</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 earned during the day, six decimals</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interest_credited interest_paid</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Capitalized interest and externally settled interest, two decimals</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closing_balance outstanding_interest</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 balance and earned unsettled interest after processing</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last_occurred_at</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 time used to preserve newer snapshots</w:t>
            </w:r>
          </w:p>
        </w:tc>
      </w:tr>
    </w:tbl>
    <w:p>
      <w:pPr>
        <w:pStyle w:val="Normal"/>
      </w:pPr>
      <w:r>
        <w:rPr>
          <w:b w:val="0"/>
        </w:rPr>
      </w:r>
    </w:p>
    <w:p>
      <w:pPr>
        <w:pStyle w:val="Normal"/>
      </w:pPr>
      <w:r>
        <w:rPr>
          <w:b w:val="0"/>
        </w:rPr>
        <w:t>UNIQUE(fd_account_no, statement_date) prevents duplicate statement rows. consumed_events stores event_id in the same projection transaction. Summary totals are grouped by currency so INR and USD amounts are never added into one monetary total. Read access is limited to administrator and bank officer roles.</w:t>
      </w:r>
    </w:p>
    <w:tbl>
      <w:tblPr>
        <w:tblW w:type="auto" w:w="0"/>
        <w:tblLayout w:type="fixed"/>
        <w:tblLook w:firstColumn="1" w:firstRow="1" w:lastColumn="0" w:lastRow="0" w:noHBand="0" w:noVBand="1" w:val="04A0"/>
      </w:tblPr>
      <w:tblGrid>
        <w:gridCol w:w="4032"/>
        <w:gridCol w:w="6048"/>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Kafka topic</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Event type and purpose</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command.interest.accrual</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InterestBatchRequested with requestId businessDate actor</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command.interest.payout</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InterestPayoutRequested adds fdAccountNo</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event.interest.accrued</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InterestAccrued with daily amounts and post-processing snapshots</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event.interest.paid</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InterestPaid with payout and remaining accrual</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event.batch.completed</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InterestBatchCompleted or InterestPayoutCompleted</w:t>
            </w:r>
          </w:p>
        </w:tc>
      </w:tr>
      <w:tr>
        <w:trPr>
          <w:cantSplit/>
        </w:trPr>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event.batch.failed</w:t>
            </w:r>
          </w:p>
        </w:tc>
        <w:tc>
          <w:tcPr>
            <w:tcW w:type="dxa" w:w="604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InterestRequestFailed with validation error</w:t>
            </w:r>
          </w:p>
        </w:tc>
      </w:tr>
    </w:tbl>
    <w:p>
      <w:pPr>
        <w:pStyle w:val="Normal"/>
      </w:pPr>
      <w:r>
        <w:rPr>
          <w:b w:val="0"/>
        </w:rPr>
      </w:r>
    </w:p>
    <w:p>
      <w:pPr>
        <w:pStyle w:val="Normal"/>
      </w:pPr>
      <w:r>
        <w:rPr>
          <w:b w:val="0"/>
        </w:rPr>
        <w:t>Every event has schemaVersion=1, eventId, eventType, occurredAt, aggregateId and data. BigDecimal values are JSON numbers. Consumer groups are fd-interest-posting-v1, fd-statements-v1 and fd-batch-results-v1. Each topic has a .DLT. Local topics use three partitions and one replica; ordering is per topic partition.</w:t>
      </w:r>
    </w:p>
    <w:p>
      <w:pPr>
        <w:pStyle w:val="Heading1"/>
        <w:pageBreakBefore/>
      </w:pPr>
      <w:r>
        <w:t>8 REST API Contracts and Security</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Endpoint</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Role and behavior</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POST /api/fd/interest/quote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BANK_OFFICER CUSTOMER; calculates a quote</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GET /api/fd/interest/accounts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BANK_OFFICER; interest account summaries</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PUT /api/fd/interest/{account}/settings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sets SIMPLE or MONTHLY_COMPOUND before accrual</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POST /api/admin/interest-batches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returns 202 with queued request</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GET /api/admin/interest-batches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latest 100 requests</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GET /api/admin/interest-batches/{id}</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request status and result</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GET /api/statements/{account}</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BANK_OFFICER; account statements</w:t>
            </w:r>
          </w:p>
        </w:tc>
      </w:tr>
      <w:tr>
        <w:trPr>
          <w:cantSplit/>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GET /api/statements/summary/all</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ADMIN BANK_OFFICER; counts and currency-grouped totals</w:t>
            </w:r>
          </w:p>
        </w:tc>
      </w:tr>
    </w:tbl>
    <w:p>
      <w:pPr>
        <w:pStyle w:val="Normal"/>
      </w:pPr>
      <w:r>
        <w:rPr>
          <w:b w:val="0"/>
        </w:rPr>
      </w:r>
    </w:p>
    <w:p>
      <w:pPr>
        <w:pStyle w:val="Heading2"/>
      </w:pPr>
      <w:r>
        <w:t>8.1 Example quote</w:t>
      </w:r>
    </w:p>
    <w:p>
      <w:pPr>
        <w:pStyle w:val="Normal"/>
        <w:spacing w:after="160"/>
      </w:pPr>
      <w:r>
        <w:rPr>
          <w:b w:val="0"/>
        </w:rPr>
      </w:r>
      <w:r>
        <w:rPr>
          <w:rFonts w:ascii="Consolas" w:hAnsi="Consolas"/>
          <w:sz w:val="17"/>
        </w:rPr>
        <w:t>{"principal":100000,"annualRate":12,</w:t>
        <w:br/>
      </w:r>
      <w:r>
        <w:rPr>
          <w:rFonts w:ascii="Consolas" w:hAnsi="Consolas"/>
          <w:sz w:val="17"/>
        </w:rPr>
        <w:t xml:space="preserve"> "months":12,"mode":"MONTHLY_COMPOUND"}</w:t>
        <w:br/>
      </w:r>
      <w:r>
        <w:rPr>
          <w:rFonts w:ascii="Consolas" w:hAnsi="Consolas"/>
          <w:sz w:val="17"/>
        </w:rPr>
        <w:t>=&gt; maturityAmount 112682.50 interest 12682.50</w:t>
        <w:br/>
      </w:r>
    </w:p>
    <w:p>
      <w:pPr>
        <w:pStyle w:val="Heading2"/>
      </w:pPr>
      <w:r>
        <w:t>8.2 Example manual command</w:t>
      </w:r>
    </w:p>
    <w:p>
      <w:pPr>
        <w:pStyle w:val="Normal"/>
        <w:spacing w:after="160"/>
      </w:pPr>
      <w:r>
        <w:rPr>
          <w:b w:val="0"/>
        </w:rPr>
      </w:r>
      <w:r>
        <w:rPr>
          <w:rFonts w:ascii="Consolas" w:hAnsi="Consolas"/>
          <w:sz w:val="17"/>
        </w:rPr>
        <w:t>POST /api/admin/interest-batches</w:t>
        <w:br/>
      </w:r>
      <w:r>
        <w:rPr>
          <w:rFonts w:ascii="Consolas" w:hAnsi="Consolas"/>
          <w:sz w:val="17"/>
        </w:rPr>
        <w:t>{"requestId":"&lt;fresh UUID&gt;","businessDate":"&lt;today or earlier&gt;",</w:t>
        <w:br/>
      </w:r>
      <w:r>
        <w:rPr>
          <w:rFonts w:ascii="Consolas" w:hAnsi="Consolas"/>
          <w:sz w:val="17"/>
        </w:rPr>
        <w:t xml:space="preserve"> "type":"ACCRUAL","fdAccountNo":null}</w:t>
        <w:br/>
      </w:r>
      <w:r>
        <w:rPr>
          <w:rFonts w:ascii="Consolas" w:hAnsi="Consolas"/>
          <w:sz w:val="17"/>
        </w:rPr>
        <w:br/>
      </w:r>
      <w:r>
        <w:rPr>
          <w:rFonts w:ascii="Consolas" w:hAnsi="Consolas"/>
          <w:sz w:val="17"/>
        </w:rPr>
        <w:t>PAYOUT uses type="PAYOUT" and fdAccountNo="BR001...".</w:t>
        <w:br/>
      </w:r>
    </w:p>
    <w:p>
      <w:pPr>
        <w:pStyle w:val="Normal"/>
      </w:pPr>
      <w:r>
        <w:rPr>
          <w:b w:val="0"/>
        </w:rPr>
        <w:t>Keep the same request ID when retrying the same submission. Reusing it with different type/date/account returns a validation error. New submissions use a new UUID. QUEUED means durable acceptance; COMPLETED means the FD transaction committed; FAILED contains a business-rule error. Statements can appear slightly later because their projection is asynchronous.</w:t>
      </w:r>
    </w:p>
    <w:p>
      <w:pPr>
        <w:pStyle w:val="Normal"/>
      </w:pPr>
      <w:r>
        <w:rPr>
          <w:b w:val="0"/>
        </w:rPr>
        <w:t>This lab preserves HTTP Basic authentication and in-memory demo users. admin1/admin123 is the dashboard administrator; officer1/officer123 can create FDs and read statements. No credentials are saved to browser local storage. Central JWT authentication is a future team integration task; this deliverable does not claim it is already implemented.</w:t>
      </w:r>
    </w:p>
    <w:p>
      <w:pPr>
        <w:pStyle w:val="Heading1"/>
        <w:pageBreakBefore/>
      </w:pPr>
      <w:r>
        <w:t>9 Angular Interest and Statement Dashboard</w:t>
      </w:r>
    </w:p>
    <w:p>
      <w:pPr>
        <w:pStyle w:val="Normal"/>
      </w:pPr>
      <w:r>
        <w:rPr>
          <w:b w:val="0"/>
        </w:rPr>
        <w:t>The Angular screen provides administrator sign-in, simple/monthly calculator, active account interest settings, manual accrual or payout request, recent request status and per-account statement viewing. It refreshes every five seconds. Error messages and a retry button retain the same request ID.</w:t>
      </w:r>
    </w:p>
    <w:p>
      <w:pPr>
        <w:jc w:val="center"/>
      </w:pPr>
      <w:r>
        <w:drawing>
          <wp:inline xmlns:a="http://schemas.openxmlformats.org/drawingml/2006/main" xmlns:pic="http://schemas.openxmlformats.org/drawingml/2006/picture">
            <wp:extent cx="4973335" cy="4937760"/>
            <wp:docPr id="1" name="Picture 1"/>
            <wp:cNvGraphicFramePr>
              <a:graphicFrameLocks noChangeAspect="1"/>
            </wp:cNvGraphicFramePr>
            <a:graphic>
              <a:graphicData uri="http://schemas.openxmlformats.org/drawingml/2006/picture">
                <pic:pic>
                  <pic:nvPicPr>
                    <pic:cNvPr id="0" name="dashboard-verified.png"/>
                    <pic:cNvPicPr/>
                  </pic:nvPicPr>
                  <pic:blipFill>
                    <a:blip r:embed="rId15"/>
                    <a:stretch>
                      <a:fillRect/>
                    </a:stretch>
                  </pic:blipFill>
                  <pic:spPr>
                    <a:xfrm>
                      <a:off x="0" y="0"/>
                      <a:ext cx="4973335" cy="4937760"/>
                    </a:xfrm>
                    <a:prstGeom prst="rect"/>
                  </pic:spPr>
                </pic:pic>
              </a:graphicData>
            </a:graphic>
          </wp:inline>
        </w:drawing>
      </w:r>
    </w:p>
    <w:p>
      <w:pPr>
        <w:pStyle w:val="Normal"/>
      </w:pPr>
      <w:r>
        <w:rPr>
          <w:b w:val="0"/>
        </w:rPr>
        <w:t>Figure 1 Browser verification against running H2 backed services. The monthly quote is 112682.50 for principal 100000 at 12 percent for 12 months. The account was created through the original L16 API; live accrual and payout requests completed through Kafka; Kafka command and event consumption are enabled in this verification session.</w:t>
      </w:r>
    </w:p>
    <w:p>
      <w:pPr>
        <w:pStyle w:val="Heading1"/>
        <w:pageBreakBefore/>
      </w:pPr>
      <w:r>
        <w:t>10 Setup Build and Demonstration</w:t>
      </w:r>
    </w:p>
    <w:p>
      <w:pPr>
        <w:pStyle w:val="Heading2"/>
      </w:pPr>
      <w:r>
        <w:t>10.1 Prepare local MySQL and Kafka</w:t>
      </w:r>
    </w:p>
    <w:p>
      <w:pPr>
        <w:pStyle w:val="Normal"/>
      </w:pPr>
      <w:r>
        <w:rPr>
          <w:b w:val="0"/>
        </w:rPr>
        <w:t>Requirements: Java 17+, local MySQL 8+, an extracted Apache Kafka binary distribution and Node 24. Build from source with Maven 3.9+ and pnpm 11. Kafka clients and the verified KRaft broker use 3.9.1 with Spring Kafka 3.3.9, managed by Spring Boot 3.5.5.</w:t>
      </w:r>
    </w:p>
    <w:p>
      <w:pPr>
        <w:pStyle w:val="Normal"/>
      </w:pPr>
      <w:r>
        <w:rPr>
          <w:b w:val="0"/>
        </w:rPr>
        <w:t>In MySQL Workbench run scripts/init-local-databases.sql. For a fresh FD schema, run l12_l13_setup.sql, l16_fd_transactions.sql and l14_l17_interest.sql in that order. Batch and statement services create their own tables. Review additive changes before using an existing team schema.</w:t>
      </w:r>
    </w:p>
    <w:p>
      <w:pPr>
        <w:pStyle w:val="Normal"/>
        <w:spacing w:after="160"/>
      </w:pPr>
      <w:r>
        <w:rPr>
          <w:b w:val="0"/>
        </w:rPr>
      </w:r>
      <w:r>
        <w:rPr>
          <w:rFonts w:ascii="Consolas" w:hAnsi="Consolas"/>
          <w:sz w:val="17"/>
        </w:rPr>
        <w:t>Copy-Item scripts/local.env.ps1.example scripts/local.env.ps1</w:t>
        <w:br/>
      </w:r>
      <w:r>
        <w:rPr>
          <w:rFonts w:ascii="Consolas" w:hAnsi="Consolas"/>
          <w:sz w:val="17"/>
        </w:rPr>
        <w:t># Edit local.env.ps1: actual MySQL credentials and URLs</w:t>
        <w:br/>
      </w:r>
      <w:r>
        <w:rPr>
          <w:rFonts w:ascii="Consolas" w:hAnsi="Consolas"/>
          <w:sz w:val="17"/>
        </w:rPr>
        <w:t># Separate terminal: extracted Kafka binary directory</w:t>
        <w:br/>
      </w:r>
      <w:r>
        <w:rPr>
          <w:rFonts w:ascii="Consolas" w:hAnsi="Consolas"/>
          <w:sz w:val="17"/>
        </w:rPr>
        <w:t>.\scripts\start-kafka.ps1 -KafkaHome 'C:\kafka'</w:t>
        <w:br/>
      </w:r>
      <w:r>
        <w:rPr>
          <w:rFonts w:ascii="Consolas" w:hAnsi="Consolas"/>
          <w:sz w:val="17"/>
        </w:rPr>
        <w:t># Keep the Kafka terminal open</w:t>
        <w:br/>
      </w:r>
    </w:p>
    <w:p>
      <w:pPr>
        <w:pStyle w:val="Heading2"/>
      </w:pPr>
      <w:r>
        <w:t>10.2 Start independent services and dashboard</w:t>
      </w:r>
    </w:p>
    <w:p>
      <w:pPr>
        <w:pStyle w:val="Normal"/>
        <w:spacing w:after="160"/>
      </w:pPr>
      <w:r>
        <w:rPr>
          <w:b w:val="0"/>
        </w:rPr>
      </w:r>
      <w:r>
        <w:rPr>
          <w:rFonts w:ascii="Consolas" w:hAnsi="Consolas"/>
          <w:sz w:val="17"/>
        </w:rPr>
        <w:t>.\scripts\start-services.ps1</w:t>
        <w:br/>
      </w:r>
      <w:r>
        <w:rPr>
          <w:rFonts w:ascii="Consolas" w:hAnsi="Consolas"/>
          <w:sz w:val="17"/>
        </w:rPr>
        <w:t>node scripts/serve-dashboard.mjs</w:t>
        <w:br/>
      </w:r>
      <w:r>
        <w:rPr>
          <w:rFonts w:ascii="Consolas" w:hAnsi="Consolas"/>
          <w:sz w:val="17"/>
        </w:rPr>
        <w:t># Open http://localhost:4200</w:t>
        <w:br/>
      </w:r>
      <w:r>
        <w:rPr>
          <w:rFonts w:ascii="Consolas" w:hAnsi="Consolas"/>
          <w:sz w:val="17"/>
        </w:rPr>
        <w:t># admin1 / admin123</w:t>
        <w:br/>
      </w:r>
      <w:r>
        <w:rPr>
          <w:rFonts w:ascii="Consolas" w:hAnsi="Consolas"/>
          <w:sz w:val="17"/>
        </w:rPr>
        <w:t># In another terminal:</w:t>
        <w:br/>
      </w:r>
      <w:r>
        <w:rPr>
          <w:rFonts w:ascii="Consolas" w:hAnsi="Consolas"/>
          <w:sz w:val="17"/>
        </w:rPr>
        <w:t>.\scripts\demo.ps1</w:t>
        <w:br/>
      </w:r>
    </w:p>
    <w:p>
      <w:pPr>
        <w:pStyle w:val="Normal"/>
      </w:pPr>
      <w:r>
        <w:rPr>
          <w:b w:val="0"/>
        </w:rPr>
        <w:t>The launcher starts three independent executable JARs on 8080, 8081 and 8082 and records their process IDs. The Node server presents the included Angular bundle and proxies APIs on the same origin. It uses the Node standard library; npm dependencies are unnecessary for running the included build. Kafka listens on localhost:9092.</w:t>
      </w:r>
    </w:p>
    <w:p>
      <w:pPr>
        <w:pStyle w:val="Heading2"/>
      </w:pPr>
      <w:r>
        <w:t>10.3 Build and verify from source</w:t>
      </w:r>
    </w:p>
    <w:p>
      <w:pPr>
        <w:pStyle w:val="Normal"/>
        <w:spacing w:after="160"/>
      </w:pPr>
      <w:r>
        <w:rPr>
          <w:b w:val="0"/>
        </w:rPr>
      </w:r>
      <w:r>
        <w:rPr>
          <w:rFonts w:ascii="Consolas" w:hAnsi="Consolas"/>
          <w:sz w:val="17"/>
        </w:rPr>
        <w:t>mvn -B clean verify</w:t>
        <w:br/>
      </w:r>
      <w:r>
        <w:rPr>
          <w:rFonts w:ascii="Consolas" w:hAnsi="Consolas"/>
          <w:sz w:val="17"/>
        </w:rPr>
        <w:t>cd interest-dashboard</w:t>
        <w:br/>
      </w:r>
      <w:r>
        <w:rPr>
          <w:rFonts w:ascii="Consolas" w:hAnsi="Consolas"/>
          <w:sz w:val="17"/>
        </w:rPr>
        <w:t>pnpm install --frozen-lockfile --ignore-scripts</w:t>
        <w:br/>
      </w:r>
      <w:r>
        <w:rPr>
          <w:rFonts w:ascii="Consolas" w:hAnsi="Consolas"/>
          <w:sz w:val="17"/>
        </w:rPr>
        <w:t>pnpm run build</w:t>
        <w:br/>
      </w:r>
      <w:r>
        <w:rPr>
          <w:rFonts w:ascii="Consolas" w:hAnsi="Consolas"/>
          <w:sz w:val="17"/>
        </w:rPr>
        <w:t>pnpm start</w:t>
        <w:br/>
      </w:r>
    </w:p>
    <w:p>
      <w:pPr>
        <w:pStyle w:val="Normal"/>
      </w:pPr>
      <w:r>
        <w:rPr>
          <w:b w:val="0"/>
        </w:rPr>
        <w:t>On Windows hosts that restrict child-process launches, scripts/build-ui.ps1 verifies Angular templates and bundles directly with esbuild. Built JARs and dashboard files are under artifacts. Runtime logs and local.env.ps1 are excluded from the ZIP.</w:t>
      </w:r>
    </w:p>
    <w:p>
      <w:pPr>
        <w:pStyle w:val="Normal"/>
      </w:pPr>
      <w:r>
        <w:rPr>
          <w:b w:val="0"/>
        </w:rPr>
        <w:t>The demo creates an FD, chooses monthly mode, submits an accrual command, polls for COMPLETED and verifies its statement. Stop Java services using scripts/stop-services.ps1; Ctrl+C stops the Kafka or dashboard terminal. Database and Kafka data are preserved. The live verification additionally checked payout and identical-request replay with real Kafka and isolated H2 databases.</w:t>
      </w:r>
    </w:p>
    <w:p>
      <w:pPr>
        <w:pStyle w:val="Heading1"/>
        <w:pageBreakBefore/>
      </w:pPr>
      <w:r>
        <w:t>11 Tests and Actual Verification Results</w:t>
      </w:r>
    </w:p>
    <w:p>
      <w:pPr>
        <w:pStyle w:val="Normal"/>
      </w:pPr>
      <w:r>
        <w:rPr>
          <w:b w:val="0"/>
        </w:rPr>
        <w:t>The final Maven reactor verification executed 52 tests with zero failures and zero errors. Java compilation targets release 17; execution used the available JDK 24.0.1 and Maven 3.9.11. The existing 21 L16 tests remain in the suite. Test XML summaries are included in docs/test-evidence.</w:t>
      </w:r>
    </w:p>
    <w:tbl>
      <w:tblPr>
        <w:tblW w:type="auto" w:w="0"/>
        <w:tblLayout w:type="fixed"/>
        <w:tblLook w:firstColumn="1" w:firstRow="1" w:lastColumn="0" w:lastRow="0" w:noHBand="0" w:noVBand="1" w:val="04A0"/>
      </w:tblPr>
      <w:tblGrid>
        <w:gridCol w:w="6192"/>
        <w:gridCol w:w="1296"/>
        <w:gridCol w:w="1296"/>
        <w:gridCol w:w="1296"/>
      </w:tblGrid>
      <w:tr>
        <w:trPr>
          <w:cantSplit/>
          <w:tblHeader/>
        </w:trPr>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Test class</w:t>
            </w:r>
          </w:p>
        </w:tc>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Tests</w:t>
            </w:r>
          </w:p>
        </w:tc>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Failures</w:t>
            </w:r>
          </w:p>
        </w:tc>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Errors</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KafkaDeliveryIntegrationTest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3</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OutboxRelayTest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FDTransactionApiIntegrationTest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14</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FDTransactionRollbackIntegrationTest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1</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InterestEngineTest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InterestPostingIntegrationTest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8</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FDTransactionServiceTest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6</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BatchIntegrationTest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StatementIntegrationTest</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5</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0</w:t>
            </w:r>
          </w:p>
        </w:tc>
      </w:tr>
    </w:tbl>
    <w:p>
      <w:pPr>
        <w:pStyle w:val="Normal"/>
      </w:pPr>
      <w:r>
        <w:rPr>
          <w:b w:val="0"/>
        </w:rPr>
      </w:r>
    </w:p>
    <w:tbl>
      <w:tblPr>
        <w:tblW w:type="auto" w:w="0"/>
        <w:tblLayout w:type="fixed"/>
        <w:tblLook w:firstColumn="1" w:firstRow="1" w:lastColumn="0" w:lastRow="0" w:noHBand="0" w:noVBand="1" w:val="04A0"/>
      </w:tblPr>
      <w:tblGrid>
        <w:gridCol w:w="4464"/>
        <w:gridCol w:w="5616"/>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Verification</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Actual result</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Maven verify</w:t>
            </w:r>
          </w:p>
        </w:tc>
        <w:tc>
          <w:tcPr>
            <w:tcW w:type="dxa" w:w="56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BUILD SUCCESS across all four modules</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Original Java preservation</w:t>
            </w:r>
          </w:p>
        </w:tc>
        <w:tc>
          <w:tcPr>
            <w:tcW w:type="dxa" w:w="56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All 25 supplied baseline Java files byte-identical</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Angular verification</w:t>
            </w:r>
          </w:p>
        </w:tc>
        <w:tc>
          <w:tcPr>
            <w:tcW w:type="dxa" w:w="56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Strict templates, direct bundle, browser sign-in and quote passed</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Real Kafka transport</w:t>
            </w:r>
          </w:p>
        </w:tc>
        <w:tc>
          <w:tcPr>
            <w:tcW w:type="dxa" w:w="56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Independent consumer groups, retries and .DLT publication passed</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Live microservice flow</w:t>
            </w:r>
          </w:p>
        </w:tc>
        <w:tc>
          <w:tcPr>
            <w:tcW w:type="dxa" w:w="56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 creation, accrual, statement, payout and replay passed with Kafka/H2</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Native MySQL deployment</w:t>
            </w:r>
          </w:p>
        </w:tc>
        <w:tc>
          <w:tcPr>
            <w:tcW w:type="dxa" w:w="56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Pending actual local database credentials</w:t>
            </w:r>
          </w:p>
        </w:tc>
      </w:tr>
    </w:tbl>
    <w:p>
      <w:pPr>
        <w:pStyle w:val="Normal"/>
      </w:pPr>
      <w:r>
        <w:rPr>
          <w:b w:val="0"/>
        </w:rPr>
      </w:r>
    </w:p>
    <w:p>
      <w:pPr>
        <w:pStyle w:val="Normal"/>
      </w:pPr>
      <w:r>
        <w:rPr>
          <w:b w:val="0"/>
        </w:rPr>
        <w:t>Tests cover formulas, catch-up, duplicate dates, maturity cutoff, immutable principal, payout replay, rollback, authorization, scheduler deduplication and out-of-order statements. Kafka acknowledgment failures are mocked; real embedded KRaft tests verify delivery and DLT handling. Live three-service Kafka/H2 verification passed. Native MySQL behavior requires the supplied local demo and actual credentials.</w:t>
      </w:r>
    </w:p>
    <w:p>
      <w:pPr>
        <w:pStyle w:val="Heading1"/>
        <w:pageBreakBefore/>
      </w:pPr>
      <w:r>
        <w:t>12 Integration and Next Developer Handover</w:t>
      </w:r>
    </w:p>
    <w:p>
      <w:pPr>
        <w:pStyle w:val="Heading2"/>
      </w:pPr>
      <w:r>
        <w:t>12.1 Run and review first</w:t>
      </w:r>
    </w:p>
    <w:p>
      <w:pPr>
        <w:pStyle w:val="Normal"/>
      </w:pPr>
      <w:r>
        <w:rPr>
          <w:b w:val="0"/>
        </w:rPr>
        <w:t>Extract the ZIP and begin with README.md and docs/HANDOVER.md. Run mvn clean verify, start local MySQL, Kafka and the Java services, then run scripts/demo.ps1. Review docs/EVENT_CONTRACTS.md and docs/API_CONTRACTS.md before adding new producers or consumers.</w:t>
      </w:r>
    </w:p>
    <w:p>
      <w:pPr>
        <w:pStyle w:val="Heading2"/>
      </w:pPr>
      <w:r>
        <w:t>12.2 Integration with each teammate</w:t>
      </w:r>
    </w:p>
    <w:tbl>
      <w:tblPr>
        <w:tblW w:type="auto" w:w="0"/>
        <w:tblLayout w:type="fixed"/>
        <w:tblLook w:firstColumn="1" w:firstRow="1" w:lastColumn="0" w:lastRow="0" w:noHBand="0" w:noVBand="1" w:val="04A0"/>
      </w:tblPr>
      <w:tblGrid>
        <w:gridCol w:w="3312"/>
        <w:gridCol w:w="6768"/>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Owner or module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Integration rule</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Vritika L12/L13</w:t>
            </w:r>
          </w:p>
        </w:tc>
        <w:tc>
          <w:tcPr>
            <w:tcW w:type="dxa" w:w="67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Retain FDAccountService and request DTO signatures. Use create-with-txn for new client bookings. Interest mode is configured separately before accrual</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Anirudh L16</w:t>
            </w:r>
          </w:p>
        </w:tc>
        <w:tc>
          <w:tcPr>
            <w:tcW w:type="dxa" w:w="67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Reuse FDTransaction constructor and append-only repository. Keep txn_timestamp and existing GLAccounts.LIABILITY_FD_DEPOSITS</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Withdrawal owner L15</w:t>
            </w:r>
          </w:p>
        </w:tc>
        <w:tc>
          <w:tcPr>
            <w:tcW w:type="dxa" w:w="67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Before closure, catch up interest under the same account lock. Use current_balance plus accrued_precise and then transition account status atomically</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Maturity owner L18/L19</w:t>
            </w:r>
          </w:p>
        </w:tc>
        <w:tc>
          <w:tcPr>
            <w:tcW w:type="dxa" w:w="67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Catch up to maturity minus one day. Settle current_balance plus accrued_precise; do not use original principal alone after capitalization</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Reporting and notification owners</w:t>
            </w:r>
          </w:p>
        </w:tc>
        <w:tc>
          <w:tcPr>
            <w:tcW w:type="dxa" w:w="67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Subscribe independently to committed interest events. Use a new consumer group rather than competing with an existing service group</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Central authentication team</w:t>
            </w:r>
          </w:p>
        </w:tc>
        <w:tc>
          <w:tcPr>
            <w:tcW w:type="dxa" w:w="67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Replace the three demo security configurations with the agreed JWT validation and role contract</w:t>
            </w:r>
          </w:p>
        </w:tc>
      </w:tr>
    </w:tbl>
    <w:p>
      <w:pPr>
        <w:pStyle w:val="Normal"/>
      </w:pPr>
      <w:r>
        <w:rPr>
          <w:b w:val="0"/>
        </w:rPr>
      </w:r>
    </w:p>
    <w:p>
      <w:pPr>
        <w:pStyle w:val="Heading2"/>
      </w:pPr>
      <w:r>
        <w:t>12.3 Design contracts to preserve</w:t>
      </w:r>
    </w:p>
    <w:p>
      <w:pPr>
        <w:pStyle w:val="Normal"/>
      </w:pPr>
      <w:r>
        <w:rPr>
          <w:b w:val="0"/>
        </w:rPr>
        <w:t>Original principal is immutable. FD interest state is authoritative for balance and precise accrual. One account/date accrual row is permitted. Financial ledger rows are never edited or deleted. Money updates and outbox writes must commit together. Statement projection may lag, so use the FD service for authoritative balances.</w:t>
      </w:r>
    </w:p>
    <w:p>
      <w:pPr>
        <w:pStyle w:val="Normal"/>
      </w:pPr>
      <w:r>
        <w:rPr>
          <w:b w:val="0"/>
        </w:rPr>
        <w:t>For new settlement logic, enter through a Spring-managed transactional service, lock fd_accounts before reading fd_interest_state, and write a durable event through Outbox. Keep request UUIDs unique across operations. Use event schemaVersion for future changes and migrate consumers deliberately.</w:t>
      </w:r>
    </w:p>
    <w:p>
      <w:pPr>
        <w:pStyle w:val="Heading2"/>
      </w:pPr>
      <w:r>
        <w:t>12.4 Files and packaging</w:t>
      </w:r>
    </w:p>
    <w:p>
      <w:pPr>
        <w:pStyle w:val="Normal"/>
      </w:pPr>
      <w:r>
        <w:rPr>
          <w:b w:val="0"/>
        </w:rPr>
        <w:t>The ZIP includes full source, dependency lockfile, SQL, service JARs, dashboard bundle, native startup configuration, demo scripts, this report, test summaries and the supplied reference material. Build caches, node_modules, local test databases, machine credentials and temporary renderer files are excluded.</w:t>
      </w:r>
    </w:p>
    <w:p>
      <w:pPr>
        <w:pStyle w:val="Heading1"/>
        <w:pageBreakBefore/>
      </w:pPr>
      <w:r>
        <w:t>13 Assumptions Limitations and Scope Boundary</w:t>
      </w:r>
    </w:p>
    <w:tbl>
      <w:tblPr>
        <w:tblW w:type="auto" w:w="0"/>
        <w:tblLayout w:type="fixed"/>
        <w:tblLook w:firstColumn="1" w:firstRow="1" w:lastColumn="0" w:lastRow="0" w:noHBand="0" w:noVBand="1" w:val="04A0"/>
      </w:tblPr>
      <w:tblGrid>
        <w:gridCol w:w="3600"/>
        <w:gridCol w:w="6480"/>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Decision or limitation</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Consequence and next action</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Official lab manual not supplied</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ACTUAL/365, maturity-date exclusion and rounding are documented assumptions; reconcile with the team’s original lab instructions</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SIMPLE default for legacy accounts</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Explicitly choose monthly mode before accrual. QUARTERLY and other compounding modes are not implemented by this assignment</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Opening date inferred from created_at</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Future migration should add an explicit business start date for backdated bookings</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Financial scale inherited as two decimals</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This contribution follows the baseline’s DECIMAL(18,2); three-decimal currencies require coordinated schema and rounding changes</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Daily GL recognition simplified</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Daily accrual is in the sub-ledger; financial INTEREST entries are posted at capitalization/payout. A full accrual-basis GL would add accrued-liability entries</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Catch-up maximum 366 days</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Submit staged dates for longer histories; one batch transaction rolls back if an account cannot process</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Transient retry exhaustion</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Inspect .DLT topics and republish the original key/body after fixing the cause; request may remain QUEUED</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No real savings transfer</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Payout is a simulated GL settlement and requires a future payment-service integration</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HTTP Basic demo security</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Retained for lab compatibility; central JWT and customer ownership checks remain integration work</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Existing endpoint behavior</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Old /create lacks deposit logging and original customer read endpoints lack ownership checks; these inherited gaps are not claimed fixed</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No Flyway in supplied baseline</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Initial SQL setup is supplied; adopt reviewed versioned migrations before shared-database deployment</w:t>
            </w:r>
          </w:p>
        </w:tc>
      </w:tr>
      <w:tr>
        <w:trPr>
          <w:cantSplit/>
        </w:trPr>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Deployment evidence boundary</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Kafka and three-service H2 verification passed; native MySQL deployment remains pending actual credentials</w:t>
            </w:r>
          </w:p>
        </w:tc>
      </w:tr>
    </w:tbl>
    <w:p>
      <w:pPr>
        <w:pStyle w:val="Normal"/>
      </w:pPr>
      <w:r>
        <w:rPr>
          <w:b w:val="0"/>
        </w:rPr>
      </w:r>
    </w:p>
    <w:p>
      <w:pPr>
        <w:pStyle w:val="Normal"/>
      </w:pPr>
      <w:r>
        <w:rPr>
          <w:b w:val="0"/>
        </w:rPr>
        <w:t>Daily accrual, capitalization and payout are distinct events. The monthly quotation is a preview; the posted sub-ledger determines earned interest. Maturity, premature closure, notifications and real payment execution remain outside my assigned implementation scope.</w:t>
      </w:r>
    </w:p>
    <w:p>
      <w:pPr>
        <w:pStyle w:val="Heading1"/>
        <w:pageBreakBefore/>
      </w:pPr>
      <w:r>
        <w:t>14 References and Source Decisions</w:t>
      </w:r>
    </w:p>
    <w:p>
      <w:pPr>
        <w:pStyle w:val="Normal"/>
      </w:pPr>
      <w:r>
        <w:rPr>
          <w:b w:val="0"/>
        </w:rPr>
        <w:t>The supplied assignment image is the authority for Parth Gupta’s four tasks: L14 interest engine, L17 03:00 scheduler, L17 statements and L14 Angular dashboard.</w:t>
      </w:r>
    </w:p>
    <w:tbl>
      <w:tblPr>
        <w:tblW w:type="auto" w:w="0"/>
        <w:tblLayout w:type="fixed"/>
        <w:tblLook w:firstColumn="1" w:firstRow="1" w:lastColumn="0" w:lastRow="0" w:noHBand="0" w:noVBand="1" w:val="04A0"/>
      </w:tblPr>
      <w:tblGrid>
        <w:gridCol w:w="4608"/>
        <w:gridCol w:w="5472"/>
      </w:tblGrid>
      <w:tr>
        <w:trPr>
          <w:cantSplit/>
          <w:tblHeader/>
        </w:trPr>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Supplied reference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D9E8EE"/>
            <w:vAlign w:val="center"/>
          </w:tcPr>
          <w:p>
            <w:pPr>
              <w:spacing w:after="60" w:before="60" w:line="240" w:lineRule="auto"/>
            </w:pPr>
            <w:r>
              <w:rPr>
                <w:rFonts w:ascii="Calibri" w:hAnsi="Calibri"/>
                <w:b/>
                <w:color w:val="000000"/>
                <w:sz w:val="18"/>
              </w:rPr>
              <w:t>How it was used</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FD_Module_L12_L13_Compiled_Project_Report.docx and fdmod.zip</w:t>
            </w:r>
          </w:p>
        </w:tc>
        <w:tc>
          <w:tcPr>
            <w:tcW w:type="dxa" w:w="54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Vritika’s architecture, naming, source layering, validation and report structure</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Anirudh_Lab16_Transactions_GL_Implementation_Report.docx and fd-module-l16.zip</w:t>
            </w:r>
          </w:p>
        </w:tc>
        <w:tc>
          <w:tcPr>
            <w:tcW w:type="dxa" w:w="54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Starting codebase, transaction constructor, ledger schema, GL conventions, tests and cover/report pattern</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docs/LAB16_HANDOVER.md</w:t>
            </w:r>
          </w:p>
        </w:tc>
        <w:tc>
          <w:tcPr>
            <w:tcW w:type="dxa" w:w="54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Integration guidance and documented baseline limitations; its older MySQL-pending status differs from the newer report</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ER_Diagram.pdf</w:t>
            </w:r>
          </w:p>
        </w:tc>
        <w:tc>
          <w:tcPr>
            <w:tcW w:type="dxa" w:w="54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Account, daily accrual, transaction and statement relationships. Customer ID/types and interest precision differ from executable baseline</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Swagger_API.yaml</w:t>
            </w:r>
          </w:p>
        </w:tc>
        <w:tc>
          <w:tcPr>
            <w:tcW w:type="dxa" w:w="54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External integration reference. Its calcId and /api/v1/accounts design is not the standalone API used here</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FD module functioning.md</w:t>
            </w:r>
          </w:p>
        </w:tc>
        <w:tc>
          <w:tcPr>
            <w:tcW w:type="dxa" w:w="547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before="60" w:line="240" w:lineRule="auto"/>
            </w:pPr>
            <w:r>
              <w:rPr>
                <w:rFonts w:ascii="Calibri" w:hAnsi="Calibri"/>
                <w:b w:val="0"/>
                <w:color w:val="000000"/>
                <w:sz w:val="18"/>
              </w:rPr>
              <w:t>Accrual/capitalization/payout separation and event architecture ideas. Its larger Angular/JWT/Kafka codebase was not included</w:t>
            </w:r>
          </w:p>
        </w:tc>
      </w:tr>
    </w:tbl>
    <w:p>
      <w:pPr>
        <w:pStyle w:val="Normal"/>
      </w:pPr>
      <w:r>
        <w:rPr>
          <w:b w:val="0"/>
        </w:rPr>
      </w:r>
    </w:p>
    <w:p>
      <w:pPr>
        <w:pStyle w:val="Normal"/>
      </w:pPr>
      <w:r>
        <w:rPr>
          <w:b w:val="0"/>
        </w:rPr>
        <w:t>The original Banking Technology Lab Manual, Work_Distribution_TEAM_1.xlsx and SWAGGER_API_DOCUMENTATION.md are mentioned in the teammate reports but absent from the supplied ZIP. No unverified exact lab-manual wording or ownership assignment is claimed from them.</w:t>
      </w:r>
    </w:p>
    <w:p>
      <w:pPr>
        <w:pStyle w:val="Heading2"/>
      </w:pPr>
      <w:r>
        <w:t>14.1 Technical documentation consulted</w:t>
      </w:r>
    </w:p>
    <w:p>
      <w:pPr>
        <w:pStyle w:val="Normal"/>
      </w:pPr>
      <w:r>
        <w:rPr>
          <w:b w:val="0"/>
        </w:rPr>
        <w:t>Spring Kafka delivery and exception handling: https://docs.spring.io/spring-kafka/reference/kafka/annotation-error-handling.html</w:t>
      </w:r>
    </w:p>
    <w:p>
      <w:pPr>
        <w:pStyle w:val="Normal"/>
      </w:pPr>
      <w:r>
        <w:rPr>
          <w:b w:val="0"/>
        </w:rPr>
        <w:t>Angular runtime compatibility: https://angular.dev/reference/versions</w:t>
      </w:r>
    </w:p>
    <w:p>
      <w:pPr>
        <w:pStyle w:val="Normal"/>
      </w:pPr>
      <w:r>
        <w:rPr>
          <w:b w:val="0"/>
        </w:rPr>
        <w:t>Apache Kafka implements the event architecture in this contribution, matching the supplied walkthrough’s broker choice. Six explicit topics connect the independently runnable services. Database outbox and consumer deduplication protect retries; acks=all and producer idempotence do not imply exactly-once business transport.</w:t>
      </w:r>
    </w:p>
    <w:sectPr>
      <w:headerReference w:type="default" r:id="rId7"/>
      <w:headerReference w:type="first" r:id="rId8"/>
      <w:footerReference w:type="default" r:id="rId9"/>
      <w:footerReference w:type="first" r:id="rId10"/>
      <w:headerReference w:type="even" r:id="rId13"/>
      <w:footerReference w:type="even" r:id="rId14"/>
      <w:pgSz w:w="12240" w:h="15840" w:orient="portrait"/>
      <w:pgMar w:top="1080" w:right="1080" w:bottom="1080" w:left="1080" w:header="540" w:footer="54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color w:val="595959"/>
        <w:sz w:val="16"/>
        <w:szCs w:val="16"/>
      </w:rPr>
      <w:t xml:space="preserve">Parth Gupta — Group 9</w:t>
    </w:r>
    <w:r>
      <w:rPr>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0080"/>
      </w:tabs>
    </w:pPr>
    <w:r>
      <w:rPr>
        <w:rFonts w:ascii="Calibri" w:hAnsi="Calibri"/>
        <w:color w:val="505050"/>
        <w:sz w:val="16"/>
      </w:rPr>
      <w:t>Banking Technology Lab | Fixed Deposit Module | Labs L14 and L17</w:t>
      <w:br/>
      <w:t>Parth Gupta | Interest and Statements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pPr>
      <w:keepNext/>
    </w:pPr>
    <w:rPr>
      <w:rFonts w:ascii="Calibri" w:hAnsi="Calibri"/>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000000"/>
      <w:sz w:val="24"/>
      <w:szCs w:val="24"/>
    </w:rPr>
  </w:style>
  <w:style w:type="paragraph" w:customStyle="1" w:styleId="Normal">
    <w:name w:val="Normal"/>
    <w:pPr>
      <w:spacing w:after="140" w:line="259" w:lineRule="auto"/>
    </w:pPr>
    <w:rPr>
      <w:rFonts w:ascii="Calibri" w:hAnsi="Calibri"/>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e7be586a563c7145f6d7ba65c363312992965c1.png"/><Relationship Id="rId12" Type="http://schemas.openxmlformats.org/officeDocument/2006/relationships/fontTable" Target="fontTable.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Deposit Interest and Statement Implementation Report</dc:title>
  <dc:creator>Parth Gupta</dc:creator>
  <dc:description>FD module Lab 16: fd_transactions, initial DEPOSIT logging, GL double bookkeeping</dc:description>
  <cp:lastModifiedBy>Un-named</cp:lastModifiedBy>
  <cp:revision>1</cp:revision>
  <dcterms:created xsi:type="dcterms:W3CDTF">2026-10-09T09:45:42.144Z</dcterms:created>
  <dcterms:modified xsi:type="dcterms:W3CDTF">2026-10-09T09:45:42.144Z</dcterms:modified>
  <dc:subject>Labs L14 and L17 event driven handover</dc:subject>
</cp:coreProperties>
</file>

<file path=docProps/custom.xml><?xml version="1.0" encoding="utf-8"?>
<Properties xmlns="http://schemas.openxmlformats.org/officeDocument/2006/custom-properties" xmlns:vt="http://schemas.openxmlformats.org/officeDocument/2006/docPropsVTypes"/>
</file>