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A844F5" w:rsidP="00FF6D48">
      <w:pPr>
        <w:pStyle w:val="Bezodstpw"/>
        <w:jc w:val="center"/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system rurowy</w:t>
      </w:r>
    </w:p>
    <w:p w:rsidR="00A844F5" w:rsidRDefault="00A844F5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Blokada rury przeciwśniegowej</w:t>
      </w:r>
    </w:p>
    <w:p w:rsidR="00A844F5" w:rsidRPr="00A844F5" w:rsidRDefault="00A844F5" w:rsidP="00086C6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bookmarkStart w:id="0" w:name="_GoBack"/>
      <w:bookmarkEnd w:id="0"/>
      <w:r>
        <w:rPr>
          <w:sz w:val="28"/>
          <w:szCs w:val="28"/>
        </w:rPr>
        <w:t>element uniwersalny uniemożliwiający wysuwanie się rur przeciwśniegowych</w:t>
      </w:r>
    </w:p>
    <w:p w:rsidR="00086C64" w:rsidRPr="00A844F5" w:rsidRDefault="00086C64" w:rsidP="00A844F5">
      <w:pPr>
        <w:pStyle w:val="Bezodstpw"/>
        <w:jc w:val="center"/>
      </w:pPr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914522" w:rsidRPr="00A844F5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  <w:r w:rsidR="00A844F5">
        <w:rPr>
          <w:rFonts w:ascii="Arial" w:hAnsi="Arial" w:cs="Arial"/>
          <w:b/>
          <w:sz w:val="24"/>
          <w:szCs w:val="24"/>
        </w:rPr>
        <w:t>– patrz instrukcja zgodnie z rodzajem pokrycia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A6A30"/>
    <w:rsid w:val="000F015E"/>
    <w:rsid w:val="00144731"/>
    <w:rsid w:val="00144A84"/>
    <w:rsid w:val="001E2234"/>
    <w:rsid w:val="002F39CA"/>
    <w:rsid w:val="00310E52"/>
    <w:rsid w:val="003267B0"/>
    <w:rsid w:val="003541F1"/>
    <w:rsid w:val="003608E2"/>
    <w:rsid w:val="00384EBE"/>
    <w:rsid w:val="003850A3"/>
    <w:rsid w:val="0041720E"/>
    <w:rsid w:val="004C2D4C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A64295"/>
    <w:rsid w:val="00A844F5"/>
    <w:rsid w:val="00AA3172"/>
    <w:rsid w:val="00B2220D"/>
    <w:rsid w:val="00B43FD5"/>
    <w:rsid w:val="00C03022"/>
    <w:rsid w:val="00C177D0"/>
    <w:rsid w:val="00C32133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5A67B-156B-4A9C-8E24-E2AB3BF8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27</cp:revision>
  <dcterms:created xsi:type="dcterms:W3CDTF">2012-07-30T20:28:00Z</dcterms:created>
  <dcterms:modified xsi:type="dcterms:W3CDTF">2020-08-31T18:35:00Z</dcterms:modified>
</cp:coreProperties>
</file>