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8DEA">
      <w:pPr>
        <w:jc w:val="center"/>
      </w:pPr>
      <w:r>
        <w:drawing>
          <wp:inline distT="0" distB="0" distL="0" distR="0">
            <wp:extent cx="9144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914400" cy="495300"/>
                    </a:xfrm>
                    <a:prstGeom prst="rect">
                      <a:avLst/>
                    </a:prstGeom>
                  </pic:spPr>
                </pic:pic>
              </a:graphicData>
            </a:graphic>
          </wp:inline>
        </w:drawing>
      </w:r>
      <w:r>
        <w:rPr>
          <w:rFonts w:ascii="Times New Roman" w:hAnsi="Times New Roman" w:eastAsia="Times New Roman" w:cs="Times New Roman"/>
          <w:b/>
          <w:bCs/>
          <w:sz w:val="28"/>
          <w:szCs w:val="28"/>
        </w:rPr>
        <w:t xml:space="preserve">  Institute of Management Sciences</w:t>
      </w:r>
      <w:r>
        <w:rPr>
          <w:rFonts w:hint="default" w:cs="Times New Roman"/>
          <w:b/>
          <w:bCs/>
          <w:sz w:val="28"/>
          <w:szCs w:val="28"/>
          <w:lang w:val="en-US"/>
        </w:rPr>
        <w:t xml:space="preserve">, </w:t>
      </w:r>
      <w:r>
        <w:rPr>
          <w:rFonts w:ascii="Times New Roman" w:hAnsi="Times New Roman" w:eastAsia="Times New Roman" w:cs="Times New Roman"/>
          <w:b/>
          <w:bCs/>
          <w:sz w:val="24"/>
          <w:szCs w:val="24"/>
        </w:rPr>
        <w:t>Peshawar – Pakistan</w:t>
      </w:r>
    </w:p>
    <w:p w14:paraId="447DCAAE">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93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79A64EE">
            <w:r>
              <w:rPr>
                <w:rFonts w:ascii="Times New Roman" w:hAnsi="Times New Roman" w:eastAsia="Times New Roman" w:cs="Times New Roman"/>
                <w:b/>
                <w:bCs/>
                <w:sz w:val="22"/>
                <w:szCs w:val="22"/>
              </w:rPr>
              <w:t>Group Members Name, ID Card No. &amp; Signatures:</w:t>
            </w:r>
          </w:p>
          <w:p w14:paraId="2332D559">
            <w:pPr>
              <w:numPr>
                <w:ilvl w:val="0"/>
                <w:numId w:val="1"/>
              </w:numP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 </w:t>
            </w:r>
            <w:r>
              <w:rPr>
                <w:rFonts w:hint="default" w:cs="Times New Roman"/>
                <w:sz w:val="22"/>
                <w:szCs w:val="22"/>
                <w:lang w:val="en-US"/>
              </w:rPr>
              <w:t>Muhammad Ihsan Khan, 240304428, Ihsan</w:t>
            </w:r>
            <w:r>
              <w:rPr>
                <w:rFonts w:ascii="Times New Roman" w:hAnsi="Times New Roman" w:eastAsia="Times New Roman" w:cs="Times New Roman"/>
                <w:sz w:val="22"/>
                <w:szCs w:val="22"/>
              </w:rPr>
              <w:t xml:space="preserve">  </w:t>
            </w:r>
          </w:p>
          <w:p w14:paraId="31CAD0F7">
            <w:pPr>
              <w:numPr>
                <w:ilvl w:val="0"/>
                <w:numId w:val="1"/>
              </w:numPr>
              <w:rPr>
                <w:rFonts w:ascii="Times New Roman" w:hAnsi="Times New Roman" w:eastAsia="Times New Roman" w:cs="Times New Roman"/>
                <w:sz w:val="22"/>
                <w:szCs w:val="22"/>
              </w:rPr>
            </w:pPr>
            <w:r>
              <w:rPr>
                <w:rFonts w:hint="default" w:cs="Times New Roman"/>
                <w:sz w:val="22"/>
                <w:szCs w:val="22"/>
                <w:lang w:val="en-US"/>
              </w:rPr>
              <w:t>____________________________________</w:t>
            </w:r>
          </w:p>
          <w:p w14:paraId="2D27877B">
            <w:pPr>
              <w:rPr>
                <w:rFonts w:hint="default"/>
                <w:lang w:val="en-US"/>
              </w:rPr>
            </w:pPr>
            <w:r>
              <w:rPr>
                <w:rFonts w:ascii="Times New Roman" w:hAnsi="Times New Roman" w:eastAsia="Times New Roman" w:cs="Times New Roman"/>
                <w:sz w:val="22"/>
                <w:szCs w:val="22"/>
              </w:rPr>
              <w:t xml:space="preserve">Program &amp; Group: </w:t>
            </w:r>
            <w:r>
              <w:rPr>
                <w:rFonts w:hint="default" w:cs="Times New Roman"/>
                <w:sz w:val="22"/>
                <w:szCs w:val="22"/>
                <w:lang w:val="en-US"/>
              </w:rPr>
              <w:t>BCS Group A</w:t>
            </w:r>
          </w:p>
        </w:tc>
      </w:tr>
    </w:tbl>
    <w:p w14:paraId="5E33F03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405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5FA212">
            <w:r>
              <w:rPr>
                <w:rFonts w:ascii="Times New Roman" w:hAnsi="Times New Roman" w:eastAsia="Times New Roman" w:cs="Times New Roman"/>
                <w:sz w:val="22"/>
                <w:szCs w:val="22"/>
              </w:rPr>
              <w:t>Examination: Mid Term (Project Base)</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2CA74A">
            <w:r>
              <w:rPr>
                <w:rFonts w:ascii="Times New Roman" w:hAnsi="Times New Roman" w:eastAsia="Times New Roman" w:cs="Times New Roman"/>
                <w:sz w:val="22"/>
                <w:szCs w:val="22"/>
              </w:rPr>
              <w:t>Semester: 4th Semester</w:t>
            </w:r>
          </w:p>
        </w:tc>
      </w:tr>
      <w:tr w14:paraId="55018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79C261">
            <w:r>
              <w:rPr>
                <w:rFonts w:ascii="Times New Roman" w:hAnsi="Times New Roman" w:eastAsia="Times New Roman" w:cs="Times New Roman"/>
                <w:sz w:val="22"/>
                <w:szCs w:val="22"/>
              </w:rPr>
              <w:t>Course: CSC-601 Artificial Intelligence (LAB)</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346981">
            <w:r>
              <w:rPr>
                <w:rFonts w:ascii="Times New Roman" w:hAnsi="Times New Roman" w:eastAsia="Times New Roman" w:cs="Times New Roman"/>
                <w:sz w:val="22"/>
                <w:szCs w:val="22"/>
              </w:rPr>
              <w:t xml:space="preserve">Date: </w:t>
            </w:r>
            <w:r>
              <w:rPr>
                <w:rFonts w:hint="default" w:cs="Times New Roman"/>
                <w:sz w:val="22"/>
                <w:szCs w:val="22"/>
                <w:lang w:val="en-US"/>
              </w:rPr>
              <w:t>12th</w:t>
            </w:r>
            <w:r>
              <w:rPr>
                <w:rFonts w:ascii="Times New Roman" w:hAnsi="Times New Roman" w:eastAsia="Times New Roman" w:cs="Times New Roman"/>
                <w:sz w:val="22"/>
                <w:szCs w:val="22"/>
              </w:rPr>
              <w:t xml:space="preserve"> April 2026</w:t>
            </w:r>
          </w:p>
        </w:tc>
      </w:tr>
      <w:tr w14:paraId="5A43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FE074C">
            <w:r>
              <w:rPr>
                <w:rFonts w:ascii="Times New Roman" w:hAnsi="Times New Roman" w:eastAsia="Times New Roman" w:cs="Times New Roman"/>
                <w:sz w:val="22"/>
                <w:szCs w:val="22"/>
              </w:rPr>
              <w:t>Instructor: Mr. Ali Haider</w:t>
            </w:r>
          </w:p>
        </w:tc>
      </w:tr>
    </w:tbl>
    <w:p w14:paraId="235D6701">
      <w:pPr>
        <w:spacing w:after="160"/>
      </w:pPr>
    </w:p>
    <w:p w14:paraId="540E13D9">
      <w:r>
        <w:rPr>
          <w:rFonts w:ascii="Times New Roman" w:hAnsi="Times New Roman" w:eastAsia="Times New Roman" w:cs="Times New Roman"/>
          <w:b/>
          <w:bCs/>
          <w:i/>
          <w:iCs/>
          <w:sz w:val="24"/>
          <w:szCs w:val="24"/>
        </w:rPr>
        <w:t>INSTRUCTIONS (READ IT FIRST):</w:t>
      </w:r>
    </w:p>
    <w:p w14:paraId="328FF2CC">
      <w:pPr>
        <w:spacing w:after="80"/>
      </w:pPr>
    </w:p>
    <w:p w14:paraId="69AC72FD">
      <w:pPr>
        <w:pStyle w:val="16"/>
        <w:numPr>
          <w:ilvl w:val="0"/>
          <w:numId w:val="2"/>
        </w:numPr>
        <w:spacing w:after="60"/>
      </w:pPr>
      <w:r>
        <w:rPr>
          <w:rFonts w:ascii="Times New Roman" w:hAnsi="Times New Roman" w:eastAsia="Times New Roman" w:cs="Times New Roman"/>
          <w:sz w:val="24"/>
          <w:szCs w:val="24"/>
        </w:rPr>
        <w:t>This midterm assessment is part of the Artificial Intelligence Lab research project conducted over a 16-week period.</w:t>
      </w:r>
    </w:p>
    <w:p w14:paraId="30925B78">
      <w:pPr>
        <w:pStyle w:val="16"/>
        <w:numPr>
          <w:ilvl w:val="0"/>
          <w:numId w:val="2"/>
        </w:numPr>
        <w:spacing w:after="60"/>
      </w:pPr>
      <w:r>
        <w:rPr>
          <w:rFonts w:ascii="Times New Roman" w:hAnsi="Times New Roman" w:eastAsia="Times New Roman" w:cs="Times New Roman"/>
          <w:sz w:val="24"/>
          <w:szCs w:val="24"/>
        </w:rPr>
        <w:t>Each group must submit a hard copy of their research paper draft according to the points of rubric file shared in google classroom.</w:t>
      </w:r>
    </w:p>
    <w:p w14:paraId="6FDA4B3B">
      <w:pPr>
        <w:pStyle w:val="16"/>
        <w:numPr>
          <w:ilvl w:val="0"/>
          <w:numId w:val="2"/>
        </w:numPr>
        <w:spacing w:after="60"/>
      </w:pPr>
      <w:r>
        <w:rPr>
          <w:rFonts w:ascii="Times New Roman" w:hAnsi="Times New Roman" w:eastAsia="Times New Roman" w:cs="Times New Roman"/>
          <w:sz w:val="24"/>
          <w:szCs w:val="24"/>
        </w:rPr>
        <w:t>The submitted work must be original and based on your group's own research and analysis.</w:t>
      </w:r>
    </w:p>
    <w:p w14:paraId="42103F69">
      <w:pPr>
        <w:pStyle w:val="16"/>
        <w:numPr>
          <w:ilvl w:val="0"/>
          <w:numId w:val="2"/>
        </w:numPr>
        <w:spacing w:after="60"/>
      </w:pPr>
      <w:r>
        <w:rPr>
          <w:rFonts w:ascii="Times New Roman" w:hAnsi="Times New Roman" w:eastAsia="Times New Roman" w:cs="Times New Roman"/>
          <w:sz w:val="24"/>
          <w:szCs w:val="24"/>
        </w:rPr>
        <w:t>Proper academic writing and referencing style should be followed while citing research papers.</w:t>
      </w:r>
    </w:p>
    <w:p w14:paraId="0CB86AE1">
      <w:pPr>
        <w:pStyle w:val="16"/>
        <w:numPr>
          <w:ilvl w:val="0"/>
          <w:numId w:val="2"/>
        </w:numPr>
        <w:spacing w:after="60"/>
      </w:pPr>
      <w:r>
        <w:rPr>
          <w:rFonts w:ascii="Times New Roman" w:hAnsi="Times New Roman" w:eastAsia="Times New Roman" w:cs="Times New Roman"/>
          <w:sz w:val="24"/>
          <w:szCs w:val="24"/>
        </w:rPr>
        <w:t>Ensure that the report is well-structured, clearly written, and properly formatted.</w:t>
      </w:r>
    </w:p>
    <w:p w14:paraId="2954D642">
      <w:pPr>
        <w:pStyle w:val="16"/>
        <w:numPr>
          <w:ilvl w:val="0"/>
          <w:numId w:val="2"/>
        </w:numPr>
        <w:spacing w:after="60"/>
      </w:pPr>
      <w:r>
        <w:rPr>
          <w:rFonts w:ascii="Times New Roman" w:hAnsi="Times New Roman" w:eastAsia="Times New Roman" w:cs="Times New Roman"/>
          <w:sz w:val="24"/>
          <w:szCs w:val="24"/>
        </w:rPr>
        <w:t>Each group member is responsible for understanding the submitted work and may be asked to explain it during evaluation.</w:t>
      </w:r>
    </w:p>
    <w:p w14:paraId="2535E4A0">
      <w:pPr>
        <w:pStyle w:val="16"/>
        <w:numPr>
          <w:ilvl w:val="0"/>
          <w:numId w:val="2"/>
        </w:numPr>
        <w:spacing w:after="60"/>
      </w:pPr>
      <w:r>
        <w:rPr>
          <w:rFonts w:ascii="Times New Roman" w:hAnsi="Times New Roman" w:eastAsia="Times New Roman" w:cs="Times New Roman"/>
          <w:sz w:val="24"/>
          <w:szCs w:val="24"/>
        </w:rPr>
        <w:t>After submission, make sure that all group details are correctly mentioned on the report.</w:t>
      </w:r>
    </w:p>
    <w:p w14:paraId="05C11A7E">
      <w:pPr>
        <w:pStyle w:val="16"/>
        <w:numPr>
          <w:ilvl w:val="0"/>
          <w:numId w:val="2"/>
        </w:numPr>
        <w:spacing w:after="60"/>
      </w:pPr>
      <w:r>
        <w:rPr>
          <w:rFonts w:ascii="Times New Roman" w:hAnsi="Times New Roman" w:eastAsia="Times New Roman" w:cs="Times New Roman"/>
          <w:sz w:val="24"/>
          <w:szCs w:val="24"/>
        </w:rPr>
        <w:t>Submit the printed hard copy of the project report to the instructor before leaving the lab.</w:t>
      </w:r>
    </w:p>
    <w:p w14:paraId="7EBBE6BE">
      <w:pPr>
        <w:pStyle w:val="16"/>
        <w:numPr>
          <w:ilvl w:val="0"/>
          <w:numId w:val="2"/>
        </w:numPr>
        <w:spacing w:after="60"/>
      </w:pPr>
      <w:r>
        <w:rPr>
          <w:rFonts w:ascii="Times New Roman" w:hAnsi="Times New Roman" w:eastAsia="Times New Roman" w:cs="Times New Roman"/>
          <w:sz w:val="24"/>
          <w:szCs w:val="24"/>
        </w:rPr>
        <w:t>Ensure that both group members sign the submission page.</w:t>
      </w:r>
    </w:p>
    <w:p w14:paraId="7289616C">
      <w:pPr>
        <w:pStyle w:val="16"/>
        <w:numPr>
          <w:ilvl w:val="0"/>
          <w:numId w:val="2"/>
        </w:numPr>
        <w:spacing w:after="60"/>
      </w:pPr>
      <w:r>
        <w:rPr>
          <w:rFonts w:ascii="Times New Roman" w:hAnsi="Times New Roman" w:eastAsia="Times New Roman" w:cs="Times New Roman"/>
          <w:sz w:val="24"/>
          <w:szCs w:val="24"/>
        </w:rPr>
        <w:t>Late submissions may result in deduction of marks according to course policy.</w:t>
      </w:r>
    </w:p>
    <w:p w14:paraId="65568987">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53A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02997DB0">
            <w:pPr>
              <w:jc w:val="center"/>
            </w:pPr>
            <w:r>
              <w:rPr>
                <w:rFonts w:ascii="Times New Roman" w:hAnsi="Times New Roman" w:eastAsia="Times New Roman" w:cs="Times New Roman"/>
                <w:b/>
                <w:bCs/>
                <w:sz w:val="22"/>
                <w:szCs w:val="22"/>
              </w:rPr>
              <w:t>CLO</w:t>
            </w:r>
          </w:p>
        </w:tc>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2950042F">
            <w:pPr>
              <w:jc w:val="center"/>
            </w:pPr>
            <w:r>
              <w:rPr>
                <w:rFonts w:ascii="Times New Roman" w:hAnsi="Times New Roman" w:eastAsia="Times New Roman" w:cs="Times New Roman"/>
                <w:b/>
                <w:bCs/>
                <w:sz w:val="22"/>
                <w:szCs w:val="22"/>
              </w:rPr>
              <w:t>Marks Allocated</w:t>
            </w:r>
          </w:p>
        </w:tc>
        <w:tc>
          <w:tcPr>
            <w:tcW w:w="3120" w:type="dxa"/>
            <w:tcBorders>
              <w:top w:val="single" w:color="000000" w:sz="4" w:space="0"/>
              <w:left w:val="single" w:color="000000" w:sz="4" w:space="0"/>
              <w:bottom w:val="single" w:color="000000" w:sz="4" w:space="0"/>
              <w:right w:val="single" w:color="000000" w:sz="4" w:space="0"/>
            </w:tcBorders>
            <w:shd w:val="clear" w:color="auto" w:fill="D0D0D0"/>
            <w:tcMar>
              <w:top w:w="80" w:type="dxa"/>
              <w:left w:w="120" w:type="dxa"/>
              <w:bottom w:w="80" w:type="dxa"/>
              <w:right w:w="120" w:type="dxa"/>
            </w:tcMar>
            <w:vAlign w:val="center"/>
          </w:tcPr>
          <w:p w14:paraId="04DE852E">
            <w:pPr>
              <w:jc w:val="center"/>
            </w:pPr>
            <w:r>
              <w:rPr>
                <w:rFonts w:ascii="Times New Roman" w:hAnsi="Times New Roman" w:eastAsia="Times New Roman" w:cs="Times New Roman"/>
                <w:b/>
                <w:bCs/>
                <w:sz w:val="22"/>
                <w:szCs w:val="22"/>
              </w:rPr>
              <w:t>Marks Obtained</w:t>
            </w:r>
          </w:p>
        </w:tc>
      </w:tr>
      <w:tr w14:paraId="0D00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D9D37E6">
            <w:pPr>
              <w:jc w:val="center"/>
            </w:pPr>
            <w:r>
              <w:rPr>
                <w:rFonts w:ascii="Times New Roman" w:hAnsi="Times New Roman" w:eastAsia="Times New Roman" w:cs="Times New Roman"/>
                <w:sz w:val="22"/>
                <w:szCs w:val="22"/>
              </w:rPr>
              <w:t>CLO 1</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67E4F1">
            <w:pPr>
              <w:jc w:val="center"/>
            </w:pPr>
            <w:r>
              <w:rPr>
                <w:rFonts w:ascii="Times New Roman" w:hAnsi="Times New Roman" w:eastAsia="Times New Roman" w:cs="Times New Roman"/>
                <w:sz w:val="22"/>
                <w:szCs w:val="22"/>
              </w:rPr>
              <w:t>15</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16BBBC31">
            <w:pPr>
              <w:jc w:val="center"/>
            </w:pPr>
          </w:p>
        </w:tc>
      </w:tr>
      <w:tr w14:paraId="38A7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4D0C5F84">
            <w:pPr>
              <w:jc w:val="center"/>
            </w:pPr>
            <w:r>
              <w:rPr>
                <w:rFonts w:ascii="Times New Roman" w:hAnsi="Times New Roman" w:eastAsia="Times New Roman" w:cs="Times New Roman"/>
                <w:sz w:val="22"/>
                <w:szCs w:val="22"/>
              </w:rPr>
              <w:t>CLO 2</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EE32091">
            <w:pPr>
              <w:jc w:val="center"/>
            </w:pPr>
            <w:r>
              <w:rPr>
                <w:rFonts w:ascii="Times New Roman" w:hAnsi="Times New Roman" w:eastAsia="Times New Roman" w:cs="Times New Roman"/>
                <w:sz w:val="22"/>
                <w:szCs w:val="22"/>
              </w:rPr>
              <w:t>15</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55B6AA76">
            <w:pPr>
              <w:jc w:val="center"/>
            </w:pPr>
          </w:p>
        </w:tc>
      </w:tr>
      <w:tr w14:paraId="2677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71FB0AE7">
            <w:pPr>
              <w:jc w:val="center"/>
            </w:pPr>
            <w:r>
              <w:rPr>
                <w:rFonts w:ascii="Times New Roman" w:hAnsi="Times New Roman" w:eastAsia="Times New Roman" w:cs="Times New Roman"/>
                <w:sz w:val="22"/>
                <w:szCs w:val="22"/>
              </w:rPr>
              <w:t>Total</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2FDAE316">
            <w:pPr>
              <w:jc w:val="center"/>
            </w:pPr>
            <w:r>
              <w:rPr>
                <w:rFonts w:ascii="Times New Roman" w:hAnsi="Times New Roman" w:eastAsia="Times New Roman" w:cs="Times New Roman"/>
                <w:sz w:val="22"/>
                <w:szCs w:val="22"/>
              </w:rPr>
              <w:t>30</w:t>
            </w:r>
          </w:p>
        </w:tc>
        <w:tc>
          <w:tcPr>
            <w:tcW w:w="312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14:paraId="6C1604C5">
            <w:pPr>
              <w:jc w:val="center"/>
            </w:pPr>
          </w:p>
        </w:tc>
      </w:tr>
    </w:tbl>
    <w:p w14:paraId="2028E3EB">
      <w:pPr>
        <w:spacing w:after="120"/>
      </w:pPr>
    </w:p>
    <w:p w14:paraId="7B012CDF">
      <w:pPr>
        <w:spacing w:after="120"/>
      </w:pPr>
      <w:r>
        <w:rPr>
          <w:rFonts w:ascii="Times New Roman" w:hAnsi="Times New Roman" w:eastAsia="Times New Roman" w:cs="Times New Roman"/>
          <w:sz w:val="24"/>
          <w:szCs w:val="24"/>
        </w:rPr>
        <w:t>Instructor Signature: ___________________________</w:t>
      </w:r>
    </w:p>
    <w:p w14:paraId="30A2F7F3">
      <w:pPr>
        <w:spacing w:before="200" w:after="160"/>
        <w:jc w:val="center"/>
        <w:rPr>
          <w:rFonts w:ascii="Times New Roman" w:hAnsi="Times New Roman" w:eastAsia="Times New Roman" w:cs="Times New Roman"/>
          <w:b/>
          <w:bCs/>
          <w:color w:val="1F3864"/>
          <w:sz w:val="36"/>
          <w:szCs w:val="36"/>
        </w:rPr>
        <w:sectPr>
          <w:pgSz w:w="12240" w:h="15840"/>
          <w:pgMar w:top="1440" w:right="1440" w:bottom="1440" w:left="1440" w:header="708" w:footer="708" w:gutter="0"/>
          <w:cols w:space="720" w:num="1"/>
          <w:docGrid w:linePitch="360" w:charSpace="0"/>
        </w:sectPr>
      </w:pPr>
    </w:p>
    <w:p w14:paraId="3BE7188D">
      <w:pPr>
        <w:spacing w:before="200" w:after="160"/>
        <w:jc w:val="center"/>
      </w:pPr>
      <w:r>
        <w:rPr>
          <w:rFonts w:ascii="Times New Roman" w:hAnsi="Times New Roman" w:eastAsia="Times New Roman" w:cs="Times New Roman"/>
          <w:b/>
          <w:bCs/>
          <w:color w:val="1F3864"/>
          <w:sz w:val="36"/>
          <w:szCs w:val="36"/>
        </w:rPr>
        <w:t>Constraint-Aware Reinforcement Learning for Smooth Multi-Thruster Maneuver Control in Aerospace Systems</w:t>
      </w:r>
    </w:p>
    <w:p w14:paraId="73736647">
      <w:pPr>
        <w:spacing w:before="80" w:after="40"/>
        <w:jc w:val="center"/>
      </w:pPr>
      <w:r>
        <w:rPr>
          <w:rFonts w:ascii="Times New Roman" w:hAnsi="Times New Roman" w:eastAsia="Times New Roman" w:cs="Times New Roman"/>
          <w:b/>
          <w:bCs/>
          <w:sz w:val="24"/>
          <w:szCs w:val="24"/>
        </w:rPr>
        <w:t>Muhammad Ihsan Khan</w:t>
      </w:r>
    </w:p>
    <w:p w14:paraId="070865A5">
      <w:pPr>
        <w:spacing w:before="20" w:after="40"/>
        <w:jc w:val="center"/>
      </w:pPr>
      <w:r>
        <w:rPr>
          <w:rFonts w:ascii="Times New Roman" w:hAnsi="Times New Roman" w:eastAsia="Times New Roman" w:cs="Times New Roman"/>
          <w:i/>
          <w:iCs/>
          <w:sz w:val="22"/>
          <w:szCs w:val="22"/>
        </w:rPr>
        <w:t>Department of Computer Science, Institute of Management Sciences, Peshawar, Pakistan</w:t>
      </w:r>
    </w:p>
    <w:p w14:paraId="5326FD67">
      <w:pPr>
        <w:spacing w:before="20" w:after="200"/>
        <w:jc w:val="center"/>
      </w:pPr>
      <w:r>
        <w:rPr>
          <w:rFonts w:ascii="Times New Roman" w:hAnsi="Times New Roman" w:eastAsia="Times New Roman" w:cs="Times New Roman"/>
          <w:i/>
          <w:iCs/>
          <w:color w:val="0563C1"/>
          <w:sz w:val="22"/>
          <w:szCs w:val="22"/>
        </w:rPr>
        <w:t>designwithIhsan@gmail.com</w:t>
      </w:r>
    </w:p>
    <w:p w14:paraId="092B642E">
      <w:pPr>
        <w:pStyle w:val="2"/>
        <w:pBdr>
          <w:bottom w:val="single" w:color="1F3864" w:sz="4" w:space="4"/>
        </w:pBdr>
        <w:spacing w:before="320" w:after="160"/>
      </w:pPr>
      <w:r>
        <w:rPr>
          <w:rFonts w:ascii="Times New Roman" w:hAnsi="Times New Roman" w:eastAsia="Times New Roman" w:cs="Times New Roman"/>
          <w:b/>
          <w:bCs/>
          <w:sz w:val="28"/>
          <w:szCs w:val="28"/>
        </w:rPr>
        <w:t>1. Introduction</w:t>
      </w:r>
    </w:p>
    <w:p w14:paraId="7248F819">
      <w:pPr>
        <w:pStyle w:val="3"/>
        <w:spacing w:before="240" w:after="120"/>
      </w:pPr>
      <w:r>
        <w:rPr>
          <w:rFonts w:ascii="Times New Roman" w:hAnsi="Times New Roman" w:eastAsia="Times New Roman" w:cs="Times New Roman"/>
          <w:b/>
          <w:bCs/>
          <w:sz w:val="24"/>
          <w:szCs w:val="24"/>
        </w:rPr>
        <w:t>1.1 Research Background and Context</w:t>
      </w:r>
    </w:p>
    <w:p w14:paraId="137DA349">
      <w:pPr>
        <w:spacing w:before="60" w:after="120" w:line="276" w:lineRule="auto"/>
        <w:ind w:firstLine="720"/>
        <w:jc w:val="both"/>
      </w:pPr>
      <w:r>
        <w:rPr>
          <w:rFonts w:ascii="Times New Roman" w:hAnsi="Times New Roman" w:eastAsia="Times New Roman" w:cs="Times New Roman"/>
          <w:sz w:val="22"/>
          <w:szCs w:val="22"/>
        </w:rPr>
        <w:t>The guidance, navigation, and control (GNC) of autonomous aerospace platforms is one of the most challenging issues of contemporary engineering [8][16]. Modern spacecraft, unmanned aerial vehicles (UAVs) and high-altitude platforms need to accomplish more and more complex maneuvers - high-speed attitude reorientation, station-keeping precision, and multi-axis obstacle avoidance - with actuator health and energy use rigidly constrained. Control architecture used in GNC is a direct determinant of mission success, longevity of hardware and safety of operation [7][9].</w:t>
      </w:r>
    </w:p>
    <w:p w14:paraId="513D1F50">
      <w:pPr>
        <w:spacing w:before="60" w:after="120" w:line="276" w:lineRule="auto"/>
        <w:ind w:firstLine="720"/>
        <w:jc w:val="both"/>
      </w:pPr>
      <w:r>
        <w:rPr>
          <w:rFonts w:ascii="Times New Roman" w:hAnsi="Times New Roman" w:eastAsia="Times New Roman" w:cs="Times New Roman"/>
          <w:sz w:val="22"/>
          <w:szCs w:val="22"/>
        </w:rPr>
        <w:t>Proportional-Integral-Derivative (PID) controller has reigned in aerospace GNC more than 50 years [1][16]. Its practical merits are well-known: computational simplicity, parameter tuning through well-established techniques, including Ziegler-Nichols gain selection and frequency response analysis, and closed-loop stability can be determined through classical control theory [16]. Nonetheless, PID has a basic structural limitation: the gains are synthesized based on a linearized model of a plant at a nominal operating point. When vehicles do not follow this envelope during aggressive pitch transitions or large angle slew maneuvers or when the environment is disturbed severely the error in linearization increases, and pre-tuned gains are either not optimal or actually destabilizing [1][2]. The nonlinear aerodynamic interaction between translational and rotational dynamics, in which the pitch angle is modulated in effective lift, which in turn feeds back into vertical acceleration is incompatible with the linear gain structure of PID in principle [16][8].</w:t>
      </w:r>
    </w:p>
    <w:p w14:paraId="5E31875E">
      <w:pPr>
        <w:spacing w:before="60" w:after="120" w:line="276" w:lineRule="auto"/>
        <w:ind w:firstLine="720"/>
        <w:jc w:val="both"/>
      </w:pPr>
      <w:r>
        <w:rPr>
          <w:rFonts w:ascii="Times New Roman" w:hAnsi="Times New Roman" w:eastAsia="Times New Roman" w:cs="Times New Roman"/>
          <w:sz w:val="22"/>
          <w:szCs w:val="22"/>
        </w:rPr>
        <w:t>A natural architectural successor was Model Predictive Control (MPC), which directly includes an explicit finite-horizon optimization, with the constraints of both states and actuators. NMPC has strong theoretical basis [19], and MPC has been shown to exhibit better constraint enforcement compared with PID. The performance of MPC, however, depends on the accuracy of an internal plant model. Reduced-order models systematically predict reduced system dynamics in aerospace systems where transport delays of 5-50 milliseconds in the response of thruster valves, unmodeled flexible fuselage modes, and nonlinearities in actuators [8]. Even the computational requirements of solving Optimal Control Problems (OCPs) in real-time are beyond the budgets of microcontroller-class platforms [2][7]. It is these constraints that have encouraged the use of learning-based control.</w:t>
      </w:r>
    </w:p>
    <w:p w14:paraId="12B0AA29">
      <w:pPr>
        <w:spacing w:before="60" w:after="120" w:line="276" w:lineRule="auto"/>
        <w:ind w:firstLine="720"/>
        <w:jc w:val="both"/>
      </w:pPr>
      <w:r>
        <w:rPr>
          <w:rFonts w:ascii="Times New Roman" w:hAnsi="Times New Roman" w:eastAsia="Times New Roman" w:cs="Times New Roman"/>
          <w:sz w:val="22"/>
          <w:szCs w:val="22"/>
        </w:rPr>
        <w:t>A completely different paradigm is Reinforcement Learning (RL): instead of an explicit analytical model of a plant, an agent in RL acquires a control policy as a consequence of interacting with the environment, by observing transitions in states and optimizing a cumulative reward signal [14]. This model-free aspect makes RL appealing to aerospace systems with unmodeled dynamics, or physical processes such as actuator hysteresis, propellant slosh, aeroelastic vibrations, and magnetic torque coupling, which are hard to characterize by first principles [8]. The empirical findings by the recent literature validate the substantial performance improvements: Khanzada et al. [3] find a 48% reduction in altitude tracking error and 69% faster command response time compared to cascaded PID baselines; Che et al. [4] achieved spacecraft attitude reorientation in less than 60 seconds compared to 25-45 seconds with classical decoupled control. These capabilities have been further expanded by deep RL architectures such as PPO [17], DQN [18], and TD3 to vision-based drone racing [22], obstacle avoidance [6], and formation control [11].</w:t>
      </w:r>
    </w:p>
    <w:p w14:paraId="73130592">
      <w:pPr>
        <w:spacing w:before="60" w:after="120" w:line="276" w:lineRule="auto"/>
        <w:ind w:firstLine="720"/>
        <w:jc w:val="both"/>
      </w:pPr>
      <w:r>
        <w:rPr>
          <w:rFonts w:ascii="Times New Roman" w:hAnsi="Times New Roman" w:eastAsia="Times New Roman" w:cs="Times New Roman"/>
          <w:sz w:val="22"/>
          <w:szCs w:val="22"/>
        </w:rPr>
        <w:t>Nevertheless, this performance benefit has a dark and not very well-documented price: the careful ignorance of the health of actuator hardware. The usual RL reward definitions penalize tracking error and do not penalize rate of change or magnitude of control commands [10][11]. This is mathematically motivated to get high-speed, aggressive corrections as state error develops. The resultant policies are reward-optimal, yet physically devastating - creating high-frequency actuator command oscillations at frequencies around 10-50 Hz, fatigue-stressing solenoid coils, accelerating wear in gimbal bearings and consuming more energy [10][5]. Sim-to-real performance degradation has been reported to be as high as 35 percent due to these oscillatory command sequences adjusting to the physical actuator dynamics that are not represented in ideal simulators [3][7]. Such switching frequencies have been reported in the literature of mechanical fatigue as causing component lives short of design goals of 10^4 cycles down to practical failure at 10^3 cycles in a single mission [10].</w:t>
      </w:r>
    </w:p>
    <w:p w14:paraId="04AF369F">
      <w:pPr>
        <w:pStyle w:val="3"/>
        <w:spacing w:before="240" w:after="120"/>
      </w:pPr>
      <w:r>
        <w:rPr>
          <w:rFonts w:ascii="Times New Roman" w:hAnsi="Times New Roman" w:eastAsia="Times New Roman" w:cs="Times New Roman"/>
          <w:b/>
          <w:bCs/>
          <w:sz w:val="24"/>
          <w:szCs w:val="24"/>
        </w:rPr>
        <w:t>1.2 Research Motivation and Problem Scope</w:t>
      </w:r>
    </w:p>
    <w:p w14:paraId="2CB968F4">
      <w:pPr>
        <w:spacing w:before="60" w:after="120" w:line="276" w:lineRule="auto"/>
        <w:ind w:firstLine="720"/>
        <w:jc w:val="both"/>
      </w:pPr>
      <w:r>
        <w:rPr>
          <w:rFonts w:ascii="Times New Roman" w:hAnsi="Times New Roman" w:eastAsia="Times New Roman" w:cs="Times New Roman"/>
          <w:sz w:val="22"/>
          <w:szCs w:val="22"/>
        </w:rPr>
        <w:t>The underlying architectural gap in aerospace RL that drives this research is the fact that a comprehensive assessment of tracking performance goes hand in hand with an obvious lack of any measures of actuator hardware wear or fatigue [10][11][5]. The issue with RL is not the lack of control of nonlinear systems by RL - the evidence mentioned above proves otherwise. Instead, the issue is that present day RL-based GNC controllers are able to perform at the cost of hardware durability in aspects that are not quantified or reported in scholarly publications [3][4].</w:t>
      </w:r>
    </w:p>
    <w:p w14:paraId="665230B4">
      <w:pPr>
        <w:spacing w:before="60" w:after="120" w:line="276" w:lineRule="auto"/>
        <w:ind w:firstLine="720"/>
        <w:jc w:val="both"/>
      </w:pPr>
      <w:r>
        <w:rPr>
          <w:rFonts w:ascii="Times New Roman" w:hAnsi="Times New Roman" w:eastAsia="Times New Roman" w:cs="Times New Roman"/>
          <w:sz w:val="22"/>
          <w:szCs w:val="22"/>
        </w:rPr>
        <w:t>The architectural problem lies in the root: standard RL reward functions are being optimized to complete the task. The reward function structure is naturally indicated by evaluation metrics, and studies report cumulative reward, success rate, and tracking error, and systematically ignore control signal oscillation, energy consumption, or mechanical wear indicators [7][10]. This vicious cycle between reward design and evaluation gives rise to a blind spot, whereby physically destructive behaviors go unnoticed and unpunished [5][11].</w:t>
      </w:r>
    </w:p>
    <w:p w14:paraId="7DFE47F6">
      <w:pPr>
        <w:spacing w:before="60" w:after="120" w:line="276" w:lineRule="auto"/>
        <w:ind w:firstLine="720"/>
        <w:jc w:val="both"/>
      </w:pPr>
      <w:r>
        <w:rPr>
          <w:rFonts w:ascii="Times New Roman" w:hAnsi="Times New Roman" w:eastAsia="Times New Roman" w:cs="Times New Roman"/>
          <w:sz w:val="22"/>
          <w:szCs w:val="22"/>
        </w:rPr>
        <w:t>There is a secondary drive due to limitations of computation. State-of-the-art deep RL systems take 8+ hours to train on a GPU, and require ≥2 GB memory and ≥1 GFLOPS floating-point compute capability to execute real-time inferences [7]. These specifications exclude microcontroller-class platforms (STM32, ARM Cortex-M4) standard on small spacecraft and UAVs that need microcomputational power in the milliwatt range [9]. The aerospace GNC literature still lacks a lightweight RL architecture that can be deployed in embedded systems.</w:t>
      </w:r>
    </w:p>
    <w:p w14:paraId="26B8F993">
      <w:pPr>
        <w:pStyle w:val="3"/>
        <w:spacing w:before="240" w:after="120"/>
      </w:pPr>
      <w:r>
        <w:rPr>
          <w:rFonts w:ascii="Times New Roman" w:hAnsi="Times New Roman" w:eastAsia="Times New Roman" w:cs="Times New Roman"/>
          <w:b/>
          <w:bCs/>
          <w:sz w:val="24"/>
          <w:szCs w:val="24"/>
        </w:rPr>
        <w:t>1.3 Research Objectives</w:t>
      </w:r>
    </w:p>
    <w:p w14:paraId="6D2AB6C6">
      <w:pPr>
        <w:spacing w:before="60" w:after="120" w:line="276" w:lineRule="auto"/>
        <w:jc w:val="both"/>
      </w:pPr>
      <w:r>
        <w:rPr>
          <w:rFonts w:ascii="Times New Roman" w:hAnsi="Times New Roman" w:eastAsia="Times New Roman" w:cs="Times New Roman"/>
          <w:sz w:val="22"/>
          <w:szCs w:val="22"/>
        </w:rPr>
        <w:t>This research has the following specific objectives:</w:t>
      </w:r>
    </w:p>
    <w:p w14:paraId="51C9A8B6">
      <w:pPr>
        <w:pStyle w:val="16"/>
        <w:numPr>
          <w:ilvl w:val="0"/>
          <w:numId w:val="3"/>
        </w:numPr>
        <w:spacing w:before="40" w:after="40"/>
      </w:pPr>
      <w:r>
        <w:rPr>
          <w:rFonts w:ascii="Times New Roman" w:hAnsi="Times New Roman" w:eastAsia="Times New Roman" w:cs="Times New Roman"/>
          <w:sz w:val="22"/>
          <w:szCs w:val="22"/>
        </w:rPr>
        <w:t>O1. Formulate a structured reward expression, explicitly rewarding actuator switching and total control effort, mathematically guiding the RL agent towards smooth, energy-efficient control policies, and acceptable tracking performance [5][13].</w:t>
      </w:r>
    </w:p>
    <w:p w14:paraId="7E54BD60">
      <w:pPr>
        <w:pStyle w:val="16"/>
        <w:numPr>
          <w:ilvl w:val="0"/>
          <w:numId w:val="3"/>
        </w:numPr>
        <w:spacing w:before="40" w:after="40"/>
      </w:pPr>
      <w:r>
        <w:rPr>
          <w:rFonts w:ascii="Times New Roman" w:hAnsi="Times New Roman" w:eastAsia="Times New Roman" w:cs="Times New Roman"/>
          <w:sz w:val="22"/>
          <w:szCs w:val="22"/>
        </w:rPr>
        <w:t>O2. Add a quantitative measure, Actuator Total Variation (ATV) direct measurement of mechanical work and hardware stress, allowing hardware health to be rated in addition to conventional performance metrics [10][11].</w:t>
      </w:r>
    </w:p>
    <w:p w14:paraId="225646DE">
      <w:pPr>
        <w:pStyle w:val="16"/>
        <w:numPr>
          <w:ilvl w:val="0"/>
          <w:numId w:val="3"/>
        </w:numPr>
        <w:spacing w:before="40" w:after="40"/>
      </w:pPr>
      <w:r>
        <w:rPr>
          <w:rFonts w:ascii="Times New Roman" w:hAnsi="Times New Roman" w:eastAsia="Times New Roman" w:cs="Times New Roman"/>
          <w:sz w:val="22"/>
          <w:szCs w:val="22"/>
        </w:rPr>
        <w:t>O3. Train a lightweight, non-deep, RL architecture with tabular Q-learning with tile-coded state discretization [14] that trains in minutes on CPU hardware and inference in sub-milliseconds on embedded microcontrollers.</w:t>
      </w:r>
    </w:p>
    <w:p w14:paraId="64F6C248">
      <w:pPr>
        <w:pStyle w:val="16"/>
        <w:numPr>
          <w:ilvl w:val="0"/>
          <w:numId w:val="3"/>
        </w:numPr>
        <w:spacing w:before="40" w:after="40"/>
      </w:pPr>
      <w:r>
        <w:rPr>
          <w:rFonts w:ascii="Times New Roman" w:hAnsi="Times New Roman" w:eastAsia="Times New Roman" w:cs="Times New Roman"/>
          <w:sz w:val="22"/>
          <w:szCs w:val="22"/>
        </w:rPr>
        <w:t>O4. Perform a three-way comparative study (cascaded PID vs. standard RL vs. constraint-aware RL) in a high fidelity simulation model with realistic actuator latency and stochastic environmental noise.</w:t>
      </w:r>
    </w:p>
    <w:p w14:paraId="546F0E2A">
      <w:pPr>
        <w:pStyle w:val="16"/>
        <w:numPr>
          <w:ilvl w:val="0"/>
          <w:numId w:val="3"/>
        </w:numPr>
        <w:spacing w:before="40" w:after="40"/>
      </w:pPr>
      <w:r>
        <w:rPr>
          <w:rFonts w:ascii="Times New Roman" w:hAnsi="Times New Roman" w:eastAsia="Times New Roman" w:cs="Times New Roman"/>
          <w:sz w:val="22"/>
          <w:szCs w:val="22"/>
        </w:rPr>
        <w:t>O5. Formal convergence is proven to optimal policies of the discrete-time MDP in tile-coded Q-learning architecture [14][15].</w:t>
      </w:r>
    </w:p>
    <w:p w14:paraId="49A1FFA8">
      <w:pPr>
        <w:spacing w:before="0" w:after="80"/>
      </w:pPr>
    </w:p>
    <w:p w14:paraId="4FE201F3">
      <w:pPr>
        <w:pStyle w:val="2"/>
        <w:pBdr>
          <w:bottom w:val="single" w:color="1F3864" w:sz="4" w:space="4"/>
        </w:pBdr>
        <w:spacing w:before="320" w:after="160"/>
      </w:pPr>
      <w:r>
        <w:rPr>
          <w:rFonts w:ascii="Times New Roman" w:hAnsi="Times New Roman" w:eastAsia="Times New Roman" w:cs="Times New Roman"/>
          <w:b/>
          <w:bCs/>
          <w:sz w:val="28"/>
          <w:szCs w:val="28"/>
        </w:rPr>
        <w:t>2. Problem Statement</w:t>
      </w:r>
    </w:p>
    <w:p w14:paraId="45AAAE97">
      <w:pPr>
        <w:pStyle w:val="3"/>
        <w:spacing w:before="240" w:after="120"/>
      </w:pPr>
      <w:r>
        <w:rPr>
          <w:rFonts w:ascii="Times New Roman" w:hAnsi="Times New Roman" w:eastAsia="Times New Roman" w:cs="Times New Roman"/>
          <w:b/>
          <w:bCs/>
          <w:sz w:val="24"/>
          <w:szCs w:val="24"/>
        </w:rPr>
        <w:t>2.1 Formal Problem Formulation</w:t>
      </w:r>
    </w:p>
    <w:p w14:paraId="0BFC50ED">
      <w:pPr>
        <w:spacing w:before="60" w:after="120" w:line="276" w:lineRule="auto"/>
        <w:ind w:firstLine="720"/>
        <w:jc w:val="both"/>
      </w:pPr>
      <w:r>
        <w:rPr>
          <w:rFonts w:ascii="Times New Roman" w:hAnsi="Times New Roman" w:eastAsia="Times New Roman" w:cs="Times New Roman"/>
          <w:sz w:val="22"/>
          <w:szCs w:val="22"/>
        </w:rPr>
        <w:t>The Euler equations [8][16] apply to the rotational dynamics of a rigid-body spacecraft with m = 4 symmetrically-positioned thrusters:</w:t>
      </w:r>
    </w:p>
    <w:p w14:paraId="74788993">
      <w:pPr>
        <w:spacing w:before="80" w:after="80"/>
        <w:jc w:val="center"/>
      </w:pPr>
      <w:r>
        <w:rPr>
          <w:rFonts w:ascii="Courier New" w:hAnsi="Courier New" w:eastAsia="Courier New" w:cs="Courier New"/>
          <w:i/>
          <w:iCs/>
          <w:sz w:val="22"/>
          <w:szCs w:val="22"/>
        </w:rPr>
        <w:t>J_B · ω̇ + ω × (J_B · ω) = τ_ctrl + τ_dist     (1)</w:t>
      </w:r>
    </w:p>
    <w:p w14:paraId="05EBA5ED">
      <w:pPr>
        <w:spacing w:before="60" w:after="120" w:line="276" w:lineRule="auto"/>
        <w:ind w:firstLine="720"/>
        <w:jc w:val="both"/>
      </w:pPr>
      <w:r>
        <w:rPr>
          <w:rFonts w:ascii="Times New Roman" w:hAnsi="Times New Roman" w:eastAsia="Times New Roman" w:cs="Times New Roman"/>
          <w:sz w:val="22"/>
          <w:szCs w:val="22"/>
        </w:rPr>
        <w:t>where J_B is a 3 × 3 inertia tensor, ω is angular velocity in the body-fixed frame, τ_ctrl is the control torque generated by the allocation of the thrusters, and τ_dist represents external disturbance (gradient of gravity, magnetic torque, atmospheric drag) [8].</w:t>
      </w:r>
    </w:p>
    <w:p w14:paraId="771AA4AE">
      <w:pPr>
        <w:spacing w:before="60" w:after="120" w:line="276" w:lineRule="auto"/>
        <w:ind w:firstLine="720"/>
        <w:jc w:val="both"/>
      </w:pPr>
      <w:r>
        <w:rPr>
          <w:rFonts w:ascii="Times New Roman" w:hAnsi="Times New Roman" w:eastAsia="Times New Roman" w:cs="Times New Roman"/>
          <w:sz w:val="22"/>
          <w:szCs w:val="22"/>
        </w:rPr>
        <w:t>The control problem is defined as follows: design a control policy π: S → A that satisfies five coupled requirements:</w:t>
      </w:r>
    </w:p>
    <w:p w14:paraId="0CCED9A4">
      <w:pPr>
        <w:spacing w:before="60" w:after="120" w:line="276" w:lineRule="auto"/>
        <w:jc w:val="both"/>
      </w:pPr>
      <w:r>
        <w:rPr>
          <w:rFonts w:ascii="Times New Roman" w:hAnsi="Times New Roman" w:eastAsia="Times New Roman" w:cs="Times New Roman"/>
          <w:sz w:val="22"/>
          <w:szCs w:val="22"/>
        </w:rPr>
        <w:t>(P1) Attitude Tracking: Minimize steady-state error ‖e_∞‖ between desired attitude θ* and actual attitude θ(t), and target value ‖e_∞‖ &lt; 0.1 rad.</w:t>
      </w:r>
    </w:p>
    <w:p w14:paraId="09A84D4B">
      <w:pPr>
        <w:spacing w:before="60" w:after="120" w:line="276" w:lineRule="auto"/>
        <w:jc w:val="both"/>
      </w:pPr>
      <w:r>
        <w:rPr>
          <w:rFonts w:ascii="Times New Roman" w:hAnsi="Times New Roman" w:eastAsia="Times New Roman" w:cs="Times New Roman"/>
          <w:sz w:val="22"/>
          <w:szCs w:val="22"/>
        </w:rPr>
        <w:t>(P2) Smooth Actuation: Reduce high-frequency variations in actuator commands, which is measured by Actuator Total Variation:</w:t>
      </w:r>
    </w:p>
    <w:p w14:paraId="0BC3EB1F">
      <w:pPr>
        <w:spacing w:before="80" w:after="80"/>
        <w:jc w:val="center"/>
      </w:pPr>
      <w:r>
        <w:rPr>
          <w:rFonts w:ascii="Courier New" w:hAnsi="Courier New" w:eastAsia="Courier New" w:cs="Courier New"/>
          <w:i/>
          <w:iCs/>
          <w:sz w:val="22"/>
          <w:szCs w:val="22"/>
        </w:rPr>
        <w:t>ATV = Σ(t=1 to T) ‖a_t − a_(t−1)‖₁ &lt; ATV_threshold     (2)</w:t>
      </w:r>
    </w:p>
    <w:p w14:paraId="283450B9">
      <w:pPr>
        <w:spacing w:before="60" w:after="120" w:line="276" w:lineRule="auto"/>
        <w:jc w:val="both"/>
      </w:pPr>
      <w:r>
        <w:rPr>
          <w:rFonts w:ascii="Times New Roman" w:hAnsi="Times New Roman" w:eastAsia="Times New Roman" w:cs="Times New Roman"/>
          <w:sz w:val="22"/>
          <w:szCs w:val="22"/>
        </w:rPr>
        <w:t>where a_t ∈ [−1, 1]^m is the normalized thruster command at timestep t [5][10][11].</w:t>
      </w:r>
    </w:p>
    <w:p w14:paraId="3BAEF8F0">
      <w:pPr>
        <w:spacing w:before="60" w:after="120" w:line="276" w:lineRule="auto"/>
        <w:jc w:val="both"/>
      </w:pPr>
      <w:r>
        <w:rPr>
          <w:rFonts w:ascii="Times New Roman" w:hAnsi="Times New Roman" w:eastAsia="Times New Roman" w:cs="Times New Roman"/>
          <w:sz w:val="22"/>
          <w:szCs w:val="22"/>
        </w:rPr>
        <w:t>(P3) Energy Efficiency: Cap total control effort:</w:t>
      </w:r>
    </w:p>
    <w:p w14:paraId="722D479A">
      <w:pPr>
        <w:spacing w:before="80" w:after="80"/>
        <w:jc w:val="center"/>
      </w:pPr>
      <w:r>
        <w:rPr>
          <w:rFonts w:ascii="Courier New" w:hAnsi="Courier New" w:eastAsia="Courier New" w:cs="Courier New"/>
          <w:i/>
          <w:iCs/>
          <w:sz w:val="22"/>
          <w:szCs w:val="22"/>
        </w:rPr>
        <w:t>CE = Σ(t=0 to T) ‖a_t‖² · Δt &lt; CE_threshold     (3)</w:t>
      </w:r>
    </w:p>
    <w:p w14:paraId="1E346031">
      <w:pPr>
        <w:spacing w:before="60" w:after="120" w:line="276" w:lineRule="auto"/>
        <w:jc w:val="both"/>
      </w:pPr>
      <w:r>
        <w:rPr>
          <w:rFonts w:ascii="Times New Roman" w:hAnsi="Times New Roman" w:eastAsia="Times New Roman" w:cs="Times New Roman"/>
          <w:sz w:val="22"/>
          <w:szCs w:val="22"/>
        </w:rPr>
        <w:t>(P4) Embedded Computational Feasibility: Support real-time inference on ARM Cortex-M4 / STM32-class microcontrollers with sub-millisecond latency and memory footprint &lt; 16 kB [7][9].</w:t>
      </w:r>
    </w:p>
    <w:p w14:paraId="2ACBEA0E">
      <w:pPr>
        <w:spacing w:before="60" w:after="120" w:line="276" w:lineRule="auto"/>
        <w:jc w:val="both"/>
      </w:pPr>
      <w:r>
        <w:rPr>
          <w:rFonts w:ascii="Times New Roman" w:hAnsi="Times New Roman" w:eastAsia="Times New Roman" w:cs="Times New Roman"/>
          <w:sz w:val="22"/>
          <w:szCs w:val="22"/>
        </w:rPr>
        <w:t>(P5) Disturbance Robustness: Attain (P1) through (P4) in the presence of realistic actuator latency Δτ = 20 ms and stochastic Dryden-model atmospheric disturbances.</w:t>
      </w:r>
    </w:p>
    <w:p w14:paraId="70880A97">
      <w:pPr>
        <w:pStyle w:val="3"/>
        <w:spacing w:before="240" w:after="120"/>
      </w:pPr>
      <w:r>
        <w:rPr>
          <w:rFonts w:ascii="Times New Roman" w:hAnsi="Times New Roman" w:eastAsia="Times New Roman" w:cs="Times New Roman"/>
          <w:b/>
          <w:bCs/>
          <w:sz w:val="24"/>
          <w:szCs w:val="24"/>
        </w:rPr>
        <w:t>2.2 Research Challenge: Limitation of Existing Approaches</w:t>
      </w:r>
    </w:p>
    <w:p w14:paraId="737B3329">
      <w:pPr>
        <w:spacing w:before="60" w:after="120" w:line="276" w:lineRule="auto"/>
        <w:ind w:firstLine="720"/>
        <w:jc w:val="both"/>
      </w:pPr>
      <w:r>
        <w:rPr>
          <w:rFonts w:ascii="Times New Roman" w:hAnsi="Times New Roman" w:eastAsia="Times New Roman" w:cs="Times New Roman"/>
          <w:sz w:val="22"/>
          <w:szCs w:val="22"/>
        </w:rPr>
        <w:t>No existing method in the literature can achieve objectives (P1)–(P4) simultaneously:</w:t>
      </w:r>
    </w:p>
    <w:p w14:paraId="013E5BAB">
      <w:pPr>
        <w:pStyle w:val="16"/>
        <w:numPr>
          <w:ilvl w:val="0"/>
          <w:numId w:val="3"/>
        </w:numPr>
        <w:spacing w:before="40" w:after="40"/>
      </w:pPr>
      <w:r>
        <w:rPr>
          <w:rFonts w:ascii="Times New Roman" w:hAnsi="Times New Roman" w:eastAsia="Times New Roman" w:cs="Times New Roman"/>
          <w:sz w:val="22"/>
          <w:szCs w:val="22"/>
        </w:rPr>
        <w:t>PID Controllers meet (P2) and (P4) (lightweight, smooth commands) but fail (P1) in nonlinear dynamics due to suboptimal gain matrices based on the linearized model outside of the nominal operating envelope [1][16].</w:t>
      </w:r>
    </w:p>
    <w:p w14:paraId="4707797F">
      <w:pPr>
        <w:pStyle w:val="16"/>
        <w:numPr>
          <w:ilvl w:val="0"/>
          <w:numId w:val="3"/>
        </w:numPr>
        <w:spacing w:before="40" w:after="40"/>
      </w:pPr>
      <w:r>
        <w:rPr>
          <w:rFonts w:ascii="Times New Roman" w:hAnsi="Times New Roman" w:eastAsia="Times New Roman" w:cs="Times New Roman"/>
          <w:sz w:val="22"/>
          <w:szCs w:val="22"/>
        </w:rPr>
        <w:t>Model Predictive Control may be able to meet (P1)-(P3) with explicit encoding of constraints, but (P4) fails due to the computational cost of solving OCPs in real-time, which is orders of magnitude greater than microcontroller budgets [2][7][19].</w:t>
      </w:r>
    </w:p>
    <w:p w14:paraId="766DAC75">
      <w:pPr>
        <w:pStyle w:val="16"/>
        <w:numPr>
          <w:ilvl w:val="0"/>
          <w:numId w:val="3"/>
        </w:numPr>
        <w:spacing w:before="40" w:after="40"/>
      </w:pPr>
      <w:r>
        <w:rPr>
          <w:rFonts w:ascii="Times New Roman" w:hAnsi="Times New Roman" w:eastAsia="Times New Roman" w:cs="Times New Roman"/>
          <w:sz w:val="22"/>
          <w:szCs w:val="22"/>
        </w:rPr>
        <w:t>Standard Deep RL (PPO [17], TD3, SAC) meets (P1) very well due to its ability to learn nonlinear policies, however systematically violates (P2) since standard reward functions do not penalize actuator switching [5][10][11], and (P4) due to memory and compute cost.</w:t>
      </w:r>
    </w:p>
    <w:p w14:paraId="079D5CBE">
      <w:pPr>
        <w:pStyle w:val="16"/>
        <w:numPr>
          <w:ilvl w:val="0"/>
          <w:numId w:val="3"/>
        </w:numPr>
        <w:spacing w:before="40" w:after="40"/>
      </w:pPr>
      <w:r>
        <w:rPr>
          <w:rFonts w:ascii="Times New Roman" w:hAnsi="Times New Roman" w:eastAsia="Times New Roman" w:cs="Times New Roman"/>
          <w:sz w:val="22"/>
          <w:szCs w:val="22"/>
        </w:rPr>
        <w:t>Shallow RL using linear function approximation does not work for (P1) since multi-axis spacecraft dynamics cannot be approximated by linear functions [14][15].</w:t>
      </w:r>
    </w:p>
    <w:p w14:paraId="7E351677">
      <w:pPr>
        <w:spacing w:before="60" w:after="120" w:line="276" w:lineRule="auto"/>
        <w:ind w:firstLine="720"/>
        <w:jc w:val="both"/>
      </w:pPr>
      <w:r>
        <w:rPr>
          <w:rFonts w:ascii="Times New Roman" w:hAnsi="Times New Roman" w:eastAsia="Times New Roman" w:cs="Times New Roman"/>
          <w:sz w:val="22"/>
          <w:szCs w:val="22"/>
        </w:rPr>
        <w:t>The current study fills this gap, with a reward-shaping formulation, which directly incorporates smoothness into the RL objective, and tile-coded tabular Q-learning, which meets all five constraints jointly.</w:t>
      </w:r>
    </w:p>
    <w:p w14:paraId="046428A0">
      <w:pPr>
        <w:spacing w:before="0" w:after="80"/>
      </w:pPr>
    </w:p>
    <w:p w14:paraId="56037E3B">
      <w:pPr>
        <w:pStyle w:val="2"/>
        <w:pBdr>
          <w:bottom w:val="single" w:color="1F3864" w:sz="4" w:space="4"/>
        </w:pBdr>
        <w:spacing w:before="320" w:after="160"/>
      </w:pPr>
      <w:r>
        <w:rPr>
          <w:rFonts w:ascii="Times New Roman" w:hAnsi="Times New Roman" w:eastAsia="Times New Roman" w:cs="Times New Roman"/>
          <w:b/>
          <w:bCs/>
          <w:sz w:val="28"/>
          <w:szCs w:val="28"/>
        </w:rPr>
        <w:t>3. Literature Review</w:t>
      </w:r>
    </w:p>
    <w:p w14:paraId="1EEA3B62">
      <w:pPr>
        <w:pStyle w:val="3"/>
        <w:spacing w:before="240" w:after="120"/>
      </w:pPr>
      <w:r>
        <w:rPr>
          <w:rFonts w:ascii="Times New Roman" w:hAnsi="Times New Roman" w:eastAsia="Times New Roman" w:cs="Times New Roman"/>
          <w:b/>
          <w:bCs/>
          <w:sz w:val="24"/>
          <w:szCs w:val="24"/>
        </w:rPr>
        <w:t>3.1 Overview and Scope</w:t>
      </w:r>
    </w:p>
    <w:p w14:paraId="6CE3A3CC">
      <w:pPr>
        <w:spacing w:before="60" w:after="120" w:line="276" w:lineRule="auto"/>
        <w:ind w:firstLine="720"/>
        <w:jc w:val="both"/>
      </w:pPr>
      <w:r>
        <w:rPr>
          <w:rFonts w:ascii="Times New Roman" w:hAnsi="Times New Roman" w:eastAsia="Times New Roman" w:cs="Times New Roman"/>
          <w:sz w:val="22"/>
          <w:szCs w:val="22"/>
        </w:rPr>
        <w:t>Aerospace GNC and learning-based control literature includes classical control theory, model-based optimization, and machine learning. This section is a synthesis of recent publications (2015-2026) in five thematic pillars: (1) classical foundations of control and nonlinear constraints, (2) deep RL performance and hardware implications, (3) embedded RL and computational feasibility, (4) actuator fatigue in PWM-driven systems and (5) hybrid RL-MPC safety-oriented frameworks. A total of 22 papers are critically analyzed in this review.</w:t>
      </w:r>
    </w:p>
    <w:p w14:paraId="619CF6CD">
      <w:pPr>
        <w:pStyle w:val="3"/>
        <w:spacing w:before="240" w:after="120"/>
      </w:pPr>
      <w:r>
        <w:rPr>
          <w:rFonts w:ascii="Times New Roman" w:hAnsi="Times New Roman" w:eastAsia="Times New Roman" w:cs="Times New Roman"/>
          <w:b/>
          <w:bCs/>
          <w:sz w:val="24"/>
          <w:szCs w:val="24"/>
        </w:rPr>
        <w:t>3.2 Theme I: Classical Control Foundations and Nonlinear Limits</w:t>
      </w:r>
    </w:p>
    <w:p w14:paraId="21C1A7C1">
      <w:pPr>
        <w:spacing w:before="60" w:after="120" w:line="276" w:lineRule="auto"/>
        <w:ind w:firstLine="720"/>
        <w:jc w:val="both"/>
      </w:pPr>
      <w:r>
        <w:rPr>
          <w:rFonts w:ascii="Times New Roman" w:hAnsi="Times New Roman" w:eastAsia="Times New Roman" w:cs="Times New Roman"/>
          <w:sz w:val="22"/>
          <w:szCs w:val="22"/>
        </w:rPr>
        <w:t>Proportional-Integral-Derivative (PID) control has been in use more than 50 years with proven stability characteristics and simple implementation [16]. Zhang et al. [1] perform an extensive empirical study that includes their AirPilot framework and proves that a PID controller optimized at nominal hover with the help of the Ziegler-Nichols selection yields stable altitude holding with a settling time less than 3 seconds under low turbulence. But with moderate wind speeds (3-5 m/s), altitude variation is greater than 0.3 m, and overshoots up to 15 percent, well above aerospace tolerance limits. The underlying cause that the PID gain matrix is a linearization that fails to hold beyond the operating point is a structural drawback that can never be addressed solely through gain scheduling [16]. This is formalized by Astrom and Murray [16] with the stability analysis of the linearized closed loop systems showing that the region of attraction reduces as the operating conditions become more unlike the linearization point.</w:t>
      </w:r>
    </w:p>
    <w:p w14:paraId="4909D219">
      <w:pPr>
        <w:spacing w:before="60" w:after="120" w:line="276" w:lineRule="auto"/>
        <w:ind w:firstLine="720"/>
        <w:jc w:val="both"/>
      </w:pPr>
      <w:r>
        <w:rPr>
          <w:rFonts w:ascii="Times New Roman" w:hAnsi="Times New Roman" w:eastAsia="Times New Roman" w:cs="Times New Roman"/>
          <w:sz w:val="22"/>
          <w:szCs w:val="22"/>
        </w:rPr>
        <w:t>Model Predictive Control (MPC) is the key improvement over PID, which involves explicit optimization over a finite horizon, and which also enforces systematic constraints [19]. The efficacy of MPC in controlling model uncertainties in aerial platforms is verified using MPC surveys on micro-aerial vehicles [20]. Kostelac et al. [2] integrate MPC with safe reinforcement learning, where MPC sets safe state policies that direct RL exploration, and show that MPC-constrained RL agent does not explore unsafe state-space areas during training. Nevertheless, a significant difference arises: the framework introduced by Kostelac frames safety by considering it as the state-imposed limits (not allowing structural overload) instead of the quality of actuator commands. A vehicle meeting all state constraints may also produce high-frequency switching of thrusters that quickly wear mechanical parts - an actuator-level phenomenon, which MPC formulations do not capture [10][11]. Also, the NMPC computational literature [19] records that real-time OCP solutions involve special solvers (IPOPT [21], CasADi [20]) which are not possible on microcontroller-class hardware.</w:t>
      </w:r>
    </w:p>
    <w:p w14:paraId="1BDE70FA">
      <w:pPr>
        <w:spacing w:before="60" w:after="120" w:line="276" w:lineRule="auto"/>
        <w:ind w:firstLine="720"/>
        <w:jc w:val="both"/>
      </w:pPr>
      <w:r>
        <w:rPr>
          <w:rFonts w:ascii="Times New Roman" w:hAnsi="Times New Roman" w:eastAsia="Times New Roman" w:cs="Times New Roman"/>
          <w:sz w:val="22"/>
          <w:szCs w:val="22"/>
        </w:rPr>
        <w:t>Key Finding: Classical control techniques (PID, MPC) are either unable to do nonlinear modeling or need precise plant models and computational budgets that are beyond the constraints of embedded platforms. Both frameworks do not include actuator health as a quantitative design goal.</w:t>
      </w:r>
    </w:p>
    <w:p w14:paraId="74ED7FA9">
      <w:pPr>
        <w:pStyle w:val="3"/>
        <w:spacing w:before="240" w:after="120"/>
      </w:pPr>
      <w:r>
        <w:rPr>
          <w:rFonts w:ascii="Times New Roman" w:hAnsi="Times New Roman" w:eastAsia="Times New Roman" w:cs="Times New Roman"/>
          <w:b/>
          <w:bCs/>
          <w:sz w:val="24"/>
          <w:szCs w:val="24"/>
        </w:rPr>
        <w:t>3.3 Theme II: Deep RL Performance and Hardware Consequences</w:t>
      </w:r>
    </w:p>
    <w:p w14:paraId="2B19A4E5">
      <w:pPr>
        <w:spacing w:before="60" w:after="120" w:line="276" w:lineRule="auto"/>
        <w:ind w:firstLine="720"/>
        <w:jc w:val="both"/>
      </w:pPr>
      <w:r>
        <w:rPr>
          <w:rFonts w:ascii="Times New Roman" w:hAnsi="Times New Roman" w:eastAsia="Times New Roman" w:cs="Times New Roman"/>
          <w:sz w:val="22"/>
          <w:szCs w:val="22"/>
        </w:rPr>
        <w:t>The latest empirical findings of deep RL applications to aerospace control are significant. Khanzada et al. [3] apply Unified RL Control System (URLCS) to fixed-wing UAV altitude-hold with PPO [17], which has a 48 percent decrease in the error of altitude tracking (0.85 m RMS to 0.44 m RMS) and 69 percent decrease in the command response time (4.2 s to 1.3 s) over cascaded PID baselines. This performance benefit is due to the fact that the RL policy learns the nonlinear interaction between aircraft pitch, airspeed and vertical rate, which PID cannot utilize [3]. The basic Deep Q-Network (DQN) framework proposed by Mnih et al. [18] that allowed such policies was shown to achieve human-level performance in end-to-end learning of raw inputs. Later algorithm advances, such as PPO [17] and Stable-Baseline3 implementations [23], have enabled deep RL to be viable in continuous control settings in practice.</w:t>
      </w:r>
    </w:p>
    <w:p w14:paraId="0ECAF294">
      <w:pPr>
        <w:spacing w:before="60" w:after="120" w:line="276" w:lineRule="auto"/>
        <w:ind w:firstLine="720"/>
        <w:jc w:val="both"/>
      </w:pPr>
      <w:r>
        <w:rPr>
          <w:rFonts w:ascii="Times New Roman" w:hAnsi="Times New Roman" w:eastAsia="Times New Roman" w:cs="Times New Roman"/>
          <w:sz w:val="22"/>
          <w:szCs w:val="22"/>
        </w:rPr>
        <w:t>Che et al. [4] present the deep RL control of a Control Moment Gyroscope (CMG) array to control the spacecraft attitude, and the attitude reorientation can be accomplished within less than 60 seconds, compared to 25 seconds to 45 seconds with classical decoupled control. Learning the nonlinear gimbal dynamics in an end-to-end manner, the TD3 agent does not use the explicit singularity avoiding algorithms that limit real-time reactivity in the classical CMG control. Other comparable findings are found in the control of fixed-wing UAV attitude control with data-efficient deep RL [22], and in quadrotor benchmarking studies that compare learned control policies [24].</w:t>
      </w:r>
    </w:p>
    <w:p w14:paraId="307B169C">
      <w:pPr>
        <w:spacing w:before="60" w:after="120" w:line="276" w:lineRule="auto"/>
        <w:ind w:firstLine="720"/>
        <w:jc w:val="both"/>
      </w:pPr>
      <w:r>
        <w:rPr>
          <w:rFonts w:ascii="Times New Roman" w:hAnsi="Times New Roman" w:eastAsia="Times New Roman" w:cs="Times New Roman"/>
          <w:sz w:val="22"/>
          <w:szCs w:val="22"/>
        </w:rPr>
        <w:t>The price of these performance improvements is, however, the quality of actuator signal. In their conclusions, Khanzada et al. [3] admit that actuator response in closed-loop deployment is poor in stability - a fact that the RL control policy generates signals that can hardly be tracked by physical actuators. Che et al. [4] do not measure gimbal angular velocity oscillations but their reward function has no command rate-of-change penalty. Doukhi and Lee [6] show real time obstacle avoidance of aerial robots without a prior map, and impressive navigational performance is shown, but the health impacts of the actuators are not mentioned. These oscillatory command sequences interacting with the physical actuator dynamics that cannot be modeled in ideal simulators are exactly what have led to the sim-to-real performance gap of 35% [3][7].</w:t>
      </w:r>
    </w:p>
    <w:p w14:paraId="7E40CB16">
      <w:pPr>
        <w:spacing w:before="60" w:after="120" w:line="276" w:lineRule="auto"/>
        <w:ind w:firstLine="720"/>
        <w:jc w:val="both"/>
      </w:pPr>
      <w:r>
        <w:rPr>
          <w:rFonts w:ascii="Times New Roman" w:hAnsi="Times New Roman" w:eastAsia="Times New Roman" w:cs="Times New Roman"/>
          <w:sz w:val="22"/>
          <w:szCs w:val="22"/>
        </w:rPr>
        <w:t>An opposing favorable case is found in Zhu et al. [5], who deploy hierarchical deep RL to execute Required Navigation Procedure (RNP) flight operations. Importantly, Zhu directly incorporates a smoothness penalty into the low-level reward function. Their experimental finding shows that this reward adjustment enhances the lifetime of hardware (bearing races live 30% longer in post-flight teardown) without disturbing navigation precision. This directly confirms the principle on which the current study is based: smooth RL policies need to have explicit incentives of smoothness based on rewards, rather than post-hoc filtering [5][13].</w:t>
      </w:r>
    </w:p>
    <w:p w14:paraId="7A08835A">
      <w:pPr>
        <w:spacing w:before="60" w:after="120" w:line="276" w:lineRule="auto"/>
        <w:ind w:firstLine="720"/>
        <w:jc w:val="both"/>
      </w:pPr>
      <w:r>
        <w:rPr>
          <w:rFonts w:ascii="Times New Roman" w:hAnsi="Times New Roman" w:eastAsia="Times New Roman" w:cs="Times New Roman"/>
          <w:sz w:val="22"/>
          <w:szCs w:val="22"/>
        </w:rPr>
        <w:t>Key Finding: Deep RL has better tracking performance, but tends to systematically generate oscillatory actuator controls unless smoothness is directly addressed in the reward function. Up to 35% sim-to-real degradation [3][7] can be directly related to actuator dynamics mismatch caused by oscillatory policies.</w:t>
      </w:r>
    </w:p>
    <w:p w14:paraId="6AE12F16">
      <w:pPr>
        <w:pStyle w:val="3"/>
        <w:spacing w:before="240" w:after="120"/>
      </w:pPr>
      <w:r>
        <w:rPr>
          <w:rFonts w:ascii="Times New Roman" w:hAnsi="Times New Roman" w:eastAsia="Times New Roman" w:cs="Times New Roman"/>
          <w:b/>
          <w:bCs/>
          <w:sz w:val="24"/>
          <w:szCs w:val="24"/>
        </w:rPr>
        <w:t>3.4 Theme III: Embedded RL and Computational Constraints</w:t>
      </w:r>
    </w:p>
    <w:p w14:paraId="61BC23A2">
      <w:pPr>
        <w:spacing w:before="60" w:after="120" w:line="276" w:lineRule="auto"/>
        <w:ind w:firstLine="720"/>
        <w:jc w:val="both"/>
      </w:pPr>
      <w:r>
        <w:rPr>
          <w:rFonts w:ascii="Times New Roman" w:hAnsi="Times New Roman" w:eastAsia="Times New Roman" w:cs="Times New Roman"/>
          <w:sz w:val="22"/>
          <w:szCs w:val="22"/>
        </w:rPr>
        <w:t>A systematic review by Khattak et al. [7] mentions a serious limitation of RL implementation to the aerospace sector: computational overhead. The PPO and TD3 policies have inference requirements of 2 GB or higher RAM, and 1 GFLOPS or higher floating-point computing power on a platform. This removes microcontroller-class platforms (STM32F7 series: 100-400 MHz, 256 KB-512 KB RAM; ARM Cortex-M4: similar specifications) that are typical of CubeSat-class spacecraft and small UAVs, because of power budget considerations [9]. Khattak et al. record that deep RL training needs 8+ hours to convergence and needs GPU infrastructure, which is too slow to adapt missions quickly or update in situ policies [7].</w:t>
      </w:r>
    </w:p>
    <w:p w14:paraId="0BEA3117">
      <w:pPr>
        <w:spacing w:before="60" w:after="120" w:line="276" w:lineRule="auto"/>
        <w:ind w:firstLine="720"/>
        <w:jc w:val="both"/>
      </w:pPr>
      <w:r>
        <w:rPr>
          <w:rFonts w:ascii="Times New Roman" w:hAnsi="Times New Roman" w:eastAsia="Times New Roman" w:cs="Times New Roman"/>
          <w:sz w:val="22"/>
          <w:szCs w:val="22"/>
        </w:rPr>
        <w:t>Li et al. [8] investigate control issues related to rigid-elastic coupled hypersonic flight vehicles, in which flexible fuselage modes transpire with rigid-body attitude dynamics at various timescales. Their discussion encourages lightweight, interpretable controllers over black-box neural networks because transparency is essential to certify the aerospace system as safe [8]. d'Apolito et al. [9] review conflict detection and resolution techniques for decentralized UAV autonomy, identifying an asymmetry: classical rule-based methods are computationally lightweight but insufficiently adaptive, while ML approaches are adaptive but computationally demanding. They recognize tabular RL techniques as a way forward but remark that tabular strategies have not been properly tested in aerospace GNC - exactly where this study fills the gap [9].</w:t>
      </w:r>
    </w:p>
    <w:p w14:paraId="28ED04AF">
      <w:pPr>
        <w:spacing w:before="60" w:after="120" w:line="276" w:lineRule="auto"/>
        <w:ind w:firstLine="720"/>
        <w:jc w:val="both"/>
      </w:pPr>
      <w:r>
        <w:rPr>
          <w:rFonts w:ascii="Times New Roman" w:hAnsi="Times New Roman" w:eastAsia="Times New Roman" w:cs="Times New Roman"/>
          <w:sz w:val="22"/>
          <w:szCs w:val="22"/>
        </w:rPr>
        <w:t>Bertsekas [15] provides the theoretical basis of approximate dynamic programming which forms the basis of the tabular RL methodology proposed in this paper, demonstrating that the tile-coded approximation of functions maintains the convergence properties of the exact tabular Q-learning, and allows the state space to be represented in a more tractable form. The convergence theory of Sutton and Barto [14] for finite-state MDPs extends to tile-coded discretizations, where it gives formal assurances that deep RL methods are currently unable to approach [14][15].</w:t>
      </w:r>
    </w:p>
    <w:p w14:paraId="54ED41F1">
      <w:pPr>
        <w:spacing w:before="60" w:after="120" w:line="276" w:lineRule="auto"/>
        <w:ind w:firstLine="720"/>
        <w:jc w:val="both"/>
      </w:pPr>
      <w:r>
        <w:rPr>
          <w:rFonts w:ascii="Times New Roman" w:hAnsi="Times New Roman" w:eastAsia="Times New Roman" w:cs="Times New Roman"/>
          <w:sz w:val="22"/>
          <w:szCs w:val="22"/>
        </w:rPr>
        <w:t>Key Finding: Deep RL cannot be computed on embedded aerospace systems. Tabular RL using tile coding provides built-in feasibility and formal convergence guarantees, yet has not been discussed in the literature of aerospace GNC.</w:t>
      </w:r>
    </w:p>
    <w:p w14:paraId="2B9B2E90">
      <w:pPr>
        <w:pStyle w:val="3"/>
        <w:spacing w:before="240" w:after="120"/>
      </w:pPr>
      <w:r>
        <w:rPr>
          <w:rFonts w:ascii="Times New Roman" w:hAnsi="Times New Roman" w:eastAsia="Times New Roman" w:cs="Times New Roman"/>
          <w:b/>
          <w:bCs/>
          <w:sz w:val="24"/>
          <w:szCs w:val="24"/>
        </w:rPr>
        <w:t>3.5 Theme IV: Actuator Fatigue in PWM-Driven Systems</w:t>
      </w:r>
    </w:p>
    <w:p w14:paraId="4496ED7A">
      <w:pPr>
        <w:spacing w:before="60" w:after="120" w:line="276" w:lineRule="auto"/>
        <w:ind w:firstLine="720"/>
        <w:jc w:val="both"/>
      </w:pPr>
      <w:r>
        <w:rPr>
          <w:rFonts w:ascii="Times New Roman" w:hAnsi="Times New Roman" w:eastAsia="Times New Roman" w:cs="Times New Roman"/>
          <w:sz w:val="22"/>
          <w:szCs w:val="22"/>
        </w:rPr>
        <w:t>Paolini et al. [10] carry out an advanced review of fault detection and diagnosis of engineering systems, which records the physical processes of actuator fatigue in PWM-driven systems: (1) solenoid coil stress due to repeated activation-deactivation thermal cycling; (2) power transistor fatigue due to the electromigration in high-frequency silicon switching; (3) mechanical wear of valve spools from rapid position changes. They observe that aggressive control policies that alternate thrusters at 10-50 Hz may allow reducing component lifetime by a factor of 100 compared to design goals of 10^4 cycles down to practical failure at 10^3 cycles during a single mission [10]. This quantitative degradation directly forms the engineering motivation of ATV as a control design objective.</w:t>
      </w:r>
    </w:p>
    <w:p w14:paraId="376050DA">
      <w:pPr>
        <w:spacing w:before="60" w:after="120" w:line="276" w:lineRule="auto"/>
        <w:ind w:firstLine="720"/>
        <w:jc w:val="both"/>
      </w:pPr>
      <w:r>
        <w:rPr>
          <w:rFonts w:ascii="Times New Roman" w:hAnsi="Times New Roman" w:eastAsia="Times New Roman" w:cs="Times New Roman"/>
          <w:sz w:val="22"/>
          <w:szCs w:val="22"/>
        </w:rPr>
        <w:t>Zhou et al. [11] present findings of multi-UAV formation control based on decentralized deep RL, and note that formation accuracy in the presence of communication delays and wind perturbation yields actuator command sequences with a switching frequency over 30 Hz. They suggest heuristic post-hoc smoothing filters (moving average, low-pass) to RL outputs, but make it clear that incorporating smoothness in the reward function would be architecturally better [11]. This assertion exactly defines the contribution of the current study: smoothness integration at the reward-level as opposed to output-level filtering.</w:t>
      </w:r>
    </w:p>
    <w:p w14:paraId="609AD659">
      <w:pPr>
        <w:spacing w:before="60" w:after="120" w:line="276" w:lineRule="auto"/>
        <w:ind w:firstLine="720"/>
        <w:jc w:val="both"/>
      </w:pPr>
      <w:r>
        <w:rPr>
          <w:rFonts w:ascii="Times New Roman" w:hAnsi="Times New Roman" w:eastAsia="Times New Roman" w:cs="Times New Roman"/>
          <w:sz w:val="22"/>
          <w:szCs w:val="22"/>
        </w:rPr>
        <w:t>Truong [12] discusses Near-Mid-Air Collision (NMAC) cases by training machine learning on pilot incident reports and finds that most NMAC incidents are preceded by autopilot systems giving rapid, oscillatory control commands that surpass the maneuverability limits of the vehicles. This accident-analysis observational evidence offers a safety-critical operational argument towards smooth and bounded control commands in aerospace systems [12].</w:t>
      </w:r>
    </w:p>
    <w:p w14:paraId="378B116C">
      <w:pPr>
        <w:spacing w:before="60" w:after="120" w:line="276" w:lineRule="auto"/>
        <w:ind w:firstLine="720"/>
        <w:jc w:val="both"/>
      </w:pPr>
      <w:r>
        <w:rPr>
          <w:rFonts w:ascii="Times New Roman" w:hAnsi="Times New Roman" w:eastAsia="Times New Roman" w:cs="Times New Roman"/>
          <w:sz w:val="22"/>
          <w:szCs w:val="22"/>
        </w:rPr>
        <w:t>Grigorescu and Zaha [13] explore inverse RL as a learning method to acquire smooth, human-like sequences of control based on driving demonstrations. They find that RL can be designed to learn smooth policies in situations where the reward function is furnished with suitable penalties - a cross domain verification of the reward-shaping strategy used in the current work [13]. Although the field of their application is autonomous vehicles, the methodological insight can be directly applied to the aerospace environment.</w:t>
      </w:r>
    </w:p>
    <w:p w14:paraId="322B743D">
      <w:pPr>
        <w:spacing w:before="60" w:after="120" w:line="276" w:lineRule="auto"/>
        <w:ind w:firstLine="720"/>
        <w:jc w:val="both"/>
      </w:pPr>
      <w:r>
        <w:rPr>
          <w:rFonts w:ascii="Times New Roman" w:hAnsi="Times New Roman" w:eastAsia="Times New Roman" w:cs="Times New Roman"/>
          <w:sz w:val="22"/>
          <w:szCs w:val="22"/>
        </w:rPr>
        <w:t>Key Finding: PWM-controlled actuators have recorded fatigue processes stimulated by the high-frequency control switching. Existing RL reward objectives do not take into account these physical constraints, generating policies that are both reward-optimal and mechanically destructive.</w:t>
      </w:r>
    </w:p>
    <w:p w14:paraId="597966A3">
      <w:pPr>
        <w:pStyle w:val="3"/>
        <w:spacing w:before="240" w:after="120"/>
      </w:pPr>
      <w:r>
        <w:rPr>
          <w:rFonts w:ascii="Times New Roman" w:hAnsi="Times New Roman" w:eastAsia="Times New Roman" w:cs="Times New Roman"/>
          <w:b/>
          <w:bCs/>
          <w:sz w:val="24"/>
          <w:szCs w:val="24"/>
        </w:rPr>
        <w:t>3.6 Theme V: Hybrid RL-MPC and Safety-Oriented Frameworks</w:t>
      </w:r>
    </w:p>
    <w:p w14:paraId="239C6113">
      <w:pPr>
        <w:spacing w:before="60" w:after="120" w:line="276" w:lineRule="auto"/>
        <w:ind w:firstLine="720"/>
        <w:jc w:val="both"/>
      </w:pPr>
      <w:r>
        <w:rPr>
          <w:rFonts w:ascii="Times New Roman" w:hAnsi="Times New Roman" w:eastAsia="Times New Roman" w:cs="Times New Roman"/>
          <w:sz w:val="22"/>
          <w:szCs w:val="22"/>
        </w:rPr>
        <w:t>Recent interest has resulted in convergence between model-free RL and model-based predictive control. Safety, as defined by Kostelac et al. [2], is in the form of Lipschitz-based bounds on policy output rate-of-change, which ensure that perturbed states (due to small perturbations in the state) result in small policy responses. These Lipschitz conditions, however, apply at the policy level, as opposed to the actuator command level - even an RL agent may meet Lipschitz policy conditions and still produce a large inter-step variation of commands when the state itself changes quickly [2]. According to the MPC survey on micro-aerial vehicles [20], constraint enforcement by MPC is not applicable to learned policies at the reward level. The convergence of model-free RL and model-based predictive control to a safe solution is surveyed in the form of safe learning in robotics surveys [24], which establish that purely model-based safety filters do not address the actuator fatigue issue that is rooted in reward design.</w:t>
      </w:r>
    </w:p>
    <w:p w14:paraId="61D31241">
      <w:pPr>
        <w:spacing w:before="60" w:after="120" w:line="276" w:lineRule="auto"/>
        <w:ind w:firstLine="720"/>
        <w:jc w:val="both"/>
      </w:pPr>
      <w:r>
        <w:rPr>
          <w:rFonts w:ascii="Times New Roman" w:hAnsi="Times New Roman" w:eastAsia="Times New Roman" w:cs="Times New Roman"/>
          <w:sz w:val="22"/>
          <w:szCs w:val="22"/>
        </w:rPr>
        <w:t>Actor-Critic MPC architecture [25] integrates a model-free and predictive learning advantage within an actor-critic framework, with a differentiable MPC. Although architecturally elegant, these methods involve computation at the scale of GPUs, and cannot be deployed to embedded microcontrollers, which is the primary limitation of the current study in terms of computation [7][9]. The embedded deployment constraint that cannot be met by hybrid deep architectures is specifically addressed in CA-RL.</w:t>
      </w:r>
    </w:p>
    <w:p w14:paraId="199D04BF">
      <w:pPr>
        <w:pStyle w:val="2"/>
        <w:rPr>
          <w:rFonts w:hint="default" w:ascii="Times New Roman" w:hAnsi="Times New Roman" w:cs="Times New Roman"/>
        </w:rPr>
      </w:pPr>
      <w:r>
        <w:rPr>
          <w:rFonts w:hint="default" w:ascii="Times New Roman" w:hAnsi="Times New Roman" w:eastAsia="Arial" w:cs="Times New Roman"/>
          <w:b/>
          <w:bCs/>
          <w:color w:val="1F3864"/>
          <w:sz w:val="28"/>
          <w:szCs w:val="28"/>
        </w:rPr>
        <w:t>3.7  Synthesis: Literature Gaps and Comparative Analysis</w:t>
      </w:r>
    </w:p>
    <w:p w14:paraId="4698B09C">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The literature review is summarized in Table 1 across seven key dimensions. The analysis establishes that no published work satisfies all the required properties simultaneously. This gap is directly addressed by the current study.</w:t>
      </w:r>
    </w:p>
    <w:p w14:paraId="608A1517">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Critical Intersection of Unmet Needs</w:t>
      </w:r>
    </w:p>
    <w:p w14:paraId="51FBC541">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Existing aerospace RL literature treats actuator dynamics as a saturation constraint rather than as an objective to design. Standard reward formulations penalize tracking error but not command rate-of-change [3][4][6]. Only Zhu et al. [5] justifies smoothness penalties, and no work proves the coexistence of smoothness and embedded-feasible architectures. No published literature describes Actuator Total Variation (ATV) as a key assessment metric alongside tracking error.</w:t>
      </w:r>
    </w:p>
    <w:p w14:paraId="73BCBDDD">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Deep RL architectures are prevalent in the literature but cannot be implemented on embedded aerospace systems [7][9]. Khattak et al. [7] report this obstacle without offering remedies. The use of tabular RL with tile coding — which has proven convergence guarantees [14][15] — remains unexplored in aerospace GNC. This represents both a computational gap and a theoretical opportunity: lightweight architectures provide stronger formal guarantees than deep RL.</w:t>
      </w:r>
    </w:p>
    <w:p w14:paraId="6FC53570">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Tracking error, settling time, and success rate are universally reported in aerospace RL literature [3][4][6]; however, actuator mechanical work or fatigue risk is not measured by any standard metric. Control-theoretic metrics compatible with RL evaluation protocols are absent from the mechanical fatigue literature [10], which records only physical mechanisms.</w:t>
      </w:r>
    </w:p>
    <w:p w14:paraId="4C29F779">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Current work has addressed either: (a) high tracking performance with deep RL at the expense of embedded feasibility [3][4][17][18], or (b) embedded-feasible controllers (PID) incapable of nonlinear performance [1][16]. No existing framework fulfills both goals with formal convergence guarantees.</w:t>
      </w:r>
    </w:p>
    <w:p w14:paraId="2D5C6683">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Although convergence properties of tabular Q-learning with tile coding are well-established [14][15], this has not been formally proved in the aerospace GNC context. The specific characteristics of spacecraft attitude dynamics — multi-axis gyroscopic coupling, nonlinear thruster distribution, and autocorrelated disturbances — must be verified for compatibility with tabular RL convergence theory.</w:t>
      </w:r>
    </w:p>
    <w:p w14:paraId="4B7CBA6C">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Supporting Evidence</w:t>
      </w:r>
    </w:p>
    <w:p w14:paraId="5238335E">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1 — Hardware Failure Data: </w:t>
      </w:r>
      <w:r>
        <w:rPr>
          <w:rFonts w:hint="default" w:ascii="Times New Roman" w:hAnsi="Times New Roman" w:eastAsia="Arial" w:cs="Times New Roman"/>
          <w:sz w:val="22"/>
          <w:szCs w:val="22"/>
        </w:rPr>
        <w:t>Paolini et al. [10] and Zhou et al. [11] report that control policies generating command switching at 10–50 Hz can shorten component lifetime by 10³ to 10⁴ cycles. This is a direct operational engineering concern, not a theoretical issue.</w:t>
      </w:r>
    </w:p>
    <w:p w14:paraId="5E17F70F">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2 — Sim-to-Real Performance Loss: </w:t>
      </w:r>
      <w:r>
        <w:rPr>
          <w:rFonts w:hint="default" w:ascii="Times New Roman" w:hAnsi="Times New Roman" w:eastAsia="Arial" w:cs="Times New Roman"/>
          <w:sz w:val="22"/>
          <w:szCs w:val="22"/>
        </w:rPr>
        <w:t>Khanzada et al. [3] and Khattak et al. [7] report a 35% performance decrease during sim-to-real transfer due to simulator idealization of actuator dynamics. Smoothness reward penalties can enhance robustness to actuator imperfections absent in simulation [5][13].</w:t>
      </w:r>
    </w:p>
    <w:p w14:paraId="21E95A65">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3 — Cross-Domain Precedent for Embedded Learning: </w:t>
      </w:r>
      <w:r>
        <w:rPr>
          <w:rFonts w:hint="default" w:ascii="Times New Roman" w:hAnsi="Times New Roman" w:eastAsia="Arial" w:cs="Times New Roman"/>
          <w:sz w:val="22"/>
          <w:szCs w:val="22"/>
        </w:rPr>
        <w:t>Tabular RL has been firmly established in robotics navigation, industrial PLC control, and resource-constrained autonomous systems. The convergence-guaranteed framework of Sutton and Barto [14] has been shown to apply in domains where deep architectures cannot be deployed due to computational constraints.</w:t>
      </w:r>
    </w:p>
    <w:p w14:paraId="1D4BABD2">
      <w:pPr>
        <w:spacing w:after="120"/>
        <w:ind w:left="360"/>
        <w:rPr>
          <w:rFonts w:hint="default" w:ascii="Times New Roman" w:hAnsi="Times New Roman" w:cs="Times New Roman"/>
        </w:rPr>
      </w:pPr>
      <w:r>
        <w:rPr>
          <w:rFonts w:hint="default" w:ascii="Times New Roman" w:hAnsi="Times New Roman" w:eastAsia="Arial" w:cs="Times New Roman"/>
          <w:b/>
          <w:bCs/>
          <w:sz w:val="22"/>
          <w:szCs w:val="22"/>
        </w:rPr>
        <w:t xml:space="preserve">Evidence 4 — Convergence Theory Availability: </w:t>
      </w:r>
      <w:r>
        <w:rPr>
          <w:rFonts w:hint="default" w:ascii="Times New Roman" w:hAnsi="Times New Roman" w:eastAsia="Arial" w:cs="Times New Roman"/>
          <w:sz w:val="22"/>
          <w:szCs w:val="22"/>
        </w:rPr>
        <w:t>Unlike deep RL, which possesses only asymptotic convergence under restrictive assumptions, the convergence of tabular Q-learning with tile-coded approximation is established by Sutton and Barto [14] and formalized by Bertsekas [15]. These results can be directly applied, offering formal guarantees absent from the deep RL literature.</w:t>
      </w:r>
    </w:p>
    <w:p w14:paraId="3DBD4A7F">
      <w:pPr>
        <w:pStyle w:val="3"/>
        <w:rPr>
          <w:rFonts w:hint="default" w:ascii="Times New Roman" w:hAnsi="Times New Roman" w:cs="Times New Roman"/>
        </w:rPr>
      </w:pPr>
      <w:r>
        <w:rPr>
          <w:rFonts w:hint="default" w:ascii="Times New Roman" w:hAnsi="Times New Roman" w:eastAsia="Arial" w:cs="Times New Roman"/>
          <w:b/>
          <w:bCs/>
          <w:color w:val="2E5596"/>
          <w:sz w:val="24"/>
          <w:szCs w:val="24"/>
        </w:rPr>
        <w:t>Proposed Contribution: Constraint-Aware Reinforcement Learning (CA-RL)</w:t>
      </w:r>
    </w:p>
    <w:p w14:paraId="07E62FEE">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To fill these gaps, the current study proposes Constraint-Aware Reinforcement Learning (CA-RL), which provides:</w:t>
      </w:r>
    </w:p>
    <w:p w14:paraId="404576F5">
      <w:pPr>
        <w:spacing w:after="100"/>
        <w:ind w:left="360"/>
        <w:rPr>
          <w:rFonts w:hint="default" w:ascii="Times New Roman" w:hAnsi="Times New Roman" w:cs="Times New Roman"/>
        </w:rPr>
      </w:pPr>
      <w:r>
        <w:rPr>
          <w:rFonts w:hint="default" w:ascii="Times New Roman" w:hAnsi="Times New Roman" w:eastAsia="Arial" w:cs="Times New Roman"/>
          <w:sz w:val="22"/>
          <w:szCs w:val="22"/>
        </w:rPr>
        <w:t>(1)  A reward formulation that directly penalizes actuator switching and control effort;</w:t>
      </w:r>
    </w:p>
    <w:p w14:paraId="312898D1">
      <w:pPr>
        <w:spacing w:after="100"/>
        <w:ind w:left="360"/>
        <w:rPr>
          <w:rFonts w:hint="default" w:ascii="Times New Roman" w:hAnsi="Times New Roman" w:cs="Times New Roman"/>
        </w:rPr>
      </w:pPr>
      <w:r>
        <w:rPr>
          <w:rFonts w:hint="default" w:ascii="Times New Roman" w:hAnsi="Times New Roman" w:eastAsia="Arial" w:cs="Times New Roman"/>
          <w:sz w:val="22"/>
          <w:szCs w:val="22"/>
        </w:rPr>
        <w:t>(2)  A lightweight tabular Q-learning architecture with tile-coded state discretization, enabling embedded deployment;</w:t>
      </w:r>
    </w:p>
    <w:p w14:paraId="64503D30">
      <w:pPr>
        <w:spacing w:after="100"/>
        <w:ind w:left="360"/>
        <w:rPr>
          <w:rFonts w:hint="default" w:ascii="Times New Roman" w:hAnsi="Times New Roman" w:cs="Times New Roman"/>
        </w:rPr>
      </w:pPr>
      <w:r>
        <w:rPr>
          <w:rFonts w:hint="default" w:ascii="Times New Roman" w:hAnsi="Times New Roman" w:eastAsia="Arial" w:cs="Times New Roman"/>
          <w:sz w:val="22"/>
          <w:szCs w:val="22"/>
        </w:rPr>
        <w:t>(3)  Formal convergence analysis demonstrating near-optimal policy convergence;</w:t>
      </w:r>
    </w:p>
    <w:p w14:paraId="7880D87D">
      <w:pPr>
        <w:spacing w:after="100"/>
        <w:ind w:left="360"/>
        <w:rPr>
          <w:rFonts w:hint="default" w:ascii="Times New Roman" w:hAnsi="Times New Roman" w:cs="Times New Roman"/>
        </w:rPr>
      </w:pPr>
      <w:r>
        <w:rPr>
          <w:rFonts w:hint="default" w:ascii="Times New Roman" w:hAnsi="Times New Roman" w:eastAsia="Arial" w:cs="Times New Roman"/>
          <w:sz w:val="22"/>
          <w:szCs w:val="22"/>
        </w:rPr>
        <w:t>(4)  Actuator Total Variation (ATV) as a primary evaluation metric for hardware wear quantification; and</w:t>
      </w:r>
    </w:p>
    <w:p w14:paraId="11EEEA45">
      <w:pPr>
        <w:spacing w:after="100"/>
        <w:ind w:left="360"/>
        <w:rPr>
          <w:rFonts w:hint="default" w:ascii="Times New Roman" w:hAnsi="Times New Roman" w:cs="Times New Roman"/>
        </w:rPr>
      </w:pPr>
      <w:r>
        <w:rPr>
          <w:rFonts w:hint="default" w:ascii="Times New Roman" w:hAnsi="Times New Roman" w:eastAsia="Arial" w:cs="Times New Roman"/>
          <w:sz w:val="22"/>
          <w:szCs w:val="22"/>
        </w:rPr>
        <w:t>(5)  A high-fidelity simulation environment incorporating Dryden-model disturbances and realistic actuator latency for rigorous comparative assessment.</w:t>
      </w:r>
    </w:p>
    <w:p w14:paraId="06D1E5F2">
      <w:pPr>
        <w:spacing w:after="160"/>
        <w:rPr>
          <w:rFonts w:hint="default" w:ascii="Times New Roman" w:hAnsi="Times New Roman" w:cs="Times New Roman"/>
        </w:rPr>
      </w:pPr>
      <w:r>
        <w:rPr>
          <w:rFonts w:hint="default" w:ascii="Times New Roman" w:hAnsi="Times New Roman" w:eastAsia="Arial" w:cs="Times New Roman"/>
          <w:b w:val="0"/>
          <w:bCs w:val="0"/>
          <w:sz w:val="22"/>
          <w:szCs w:val="22"/>
        </w:rPr>
        <w:t>The methodology follows a logical flow from system physics through policy implementation to performance analysis. Table 1 below provides a comprehensive comparative summary.</w:t>
      </w:r>
    </w:p>
    <w:tbl>
      <w:tblPr>
        <w:tblStyle w:val="9"/>
        <w:tblpPr w:leftFromText="180" w:rightFromText="180" w:vertAnchor="text" w:horzAnchor="page" w:tblpX="671" w:tblpY="261"/>
        <w:tblOverlap w:val="never"/>
        <w:tblW w:w="11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235"/>
        <w:gridCol w:w="1180"/>
        <w:gridCol w:w="1439"/>
        <w:gridCol w:w="1499"/>
        <w:gridCol w:w="1196"/>
        <w:gridCol w:w="992"/>
        <w:gridCol w:w="1096"/>
        <w:gridCol w:w="1073"/>
      </w:tblGrid>
      <w:tr w14:paraId="4B7C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6424044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Work</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087BF1BF">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Nonlinear Dyn.</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6ACE7760">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Tracking Perf.</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5AA00993">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Embedded Feasible</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139BE45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Convergence Proof</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5A6F389C">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Smooth Reward</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479BAF9">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ATV Metric</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7A1D0CC4">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PWM Fatigue</w:t>
            </w:r>
          </w:p>
        </w:tc>
        <w:tc>
          <w:tcPr>
            <w:tcBorders>
              <w:top w:val="single" w:color="999999" w:sz="0" w:space="0"/>
              <w:left w:val="single" w:color="999999" w:sz="0" w:space="0"/>
              <w:bottom w:val="single" w:color="999999" w:sz="0" w:space="0"/>
              <w:right w:val="single" w:color="999999" w:sz="0" w:space="0"/>
            </w:tcBorders>
            <w:shd w:val="clear" w:color="auto" w:fill="1F3864"/>
            <w:tcMar>
              <w:top w:w="80" w:type="dxa"/>
              <w:left w:w="120" w:type="dxa"/>
              <w:bottom w:w="80" w:type="dxa"/>
              <w:right w:w="120" w:type="dxa"/>
            </w:tcMar>
            <w:vAlign w:val="center"/>
          </w:tcPr>
          <w:p w14:paraId="294B37C7">
            <w:pPr>
              <w:jc w:val="center"/>
              <w:rPr>
                <w:rFonts w:hint="default" w:ascii="Times New Roman" w:hAnsi="Times New Roman" w:cs="Times New Roman"/>
              </w:rPr>
            </w:pPr>
            <w:r>
              <w:rPr>
                <w:rFonts w:hint="default" w:ascii="Times New Roman" w:hAnsi="Times New Roman" w:eastAsia="Arial" w:cs="Times New Roman"/>
                <w:b/>
                <w:bCs/>
                <w:color w:val="FFFFFF"/>
                <w:sz w:val="18"/>
                <w:szCs w:val="18"/>
              </w:rPr>
              <w:t>Deep RL Arch.</w:t>
            </w:r>
          </w:p>
        </w:tc>
      </w:tr>
      <w:tr w14:paraId="2BA5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BF094C">
            <w:pPr>
              <w:jc w:val="left"/>
              <w:rPr>
                <w:rFonts w:hint="default" w:ascii="Times New Roman" w:hAnsi="Times New Roman" w:cs="Times New Roman"/>
              </w:rPr>
            </w:pPr>
            <w:r>
              <w:rPr>
                <w:rFonts w:hint="default" w:ascii="Times New Roman" w:hAnsi="Times New Roman" w:eastAsia="Arial" w:cs="Times New Roman"/>
                <w:b w:val="0"/>
                <w:bCs w:val="0"/>
                <w:sz w:val="18"/>
                <w:szCs w:val="18"/>
              </w:rPr>
              <w:t>Zhang et al. [1]</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648028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C09D26F">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FBCFE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7F33D7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CD1ABE">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E6E68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98418C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10C58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AB4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DD5810">
            <w:pPr>
              <w:jc w:val="left"/>
              <w:rPr>
                <w:rFonts w:hint="default" w:ascii="Times New Roman" w:hAnsi="Times New Roman" w:cs="Times New Roman"/>
              </w:rPr>
            </w:pPr>
            <w:r>
              <w:rPr>
                <w:rFonts w:hint="default" w:ascii="Times New Roman" w:hAnsi="Times New Roman" w:eastAsia="Arial" w:cs="Times New Roman"/>
                <w:b w:val="0"/>
                <w:bCs w:val="0"/>
                <w:sz w:val="18"/>
                <w:szCs w:val="18"/>
              </w:rPr>
              <w:t>Khanzada et al. [3]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5AC4BA5">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6C38DF">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7ACD9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81311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3D544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3EB354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104F0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2F05A8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F92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19DA08">
            <w:pPr>
              <w:jc w:val="left"/>
              <w:rPr>
                <w:rFonts w:hint="default" w:ascii="Times New Roman" w:hAnsi="Times New Roman" w:cs="Times New Roman"/>
              </w:rPr>
            </w:pPr>
            <w:r>
              <w:rPr>
                <w:rFonts w:hint="default" w:ascii="Times New Roman" w:hAnsi="Times New Roman" w:eastAsia="Arial" w:cs="Times New Roman"/>
                <w:b w:val="0"/>
                <w:bCs w:val="0"/>
                <w:sz w:val="18"/>
                <w:szCs w:val="18"/>
              </w:rPr>
              <w:t>Che et al. [4]</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1BE4A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DD4926">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C9225F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46FDD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A29932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9BA89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10BCD3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49189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EBD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E94AEA">
            <w:pPr>
              <w:jc w:val="left"/>
              <w:rPr>
                <w:rFonts w:hint="default" w:ascii="Times New Roman" w:hAnsi="Times New Roman" w:cs="Times New Roman"/>
              </w:rPr>
            </w:pPr>
            <w:r>
              <w:rPr>
                <w:rFonts w:hint="default" w:ascii="Times New Roman" w:hAnsi="Times New Roman" w:eastAsia="Arial" w:cs="Times New Roman"/>
                <w:b w:val="0"/>
                <w:bCs w:val="0"/>
                <w:sz w:val="18"/>
                <w:szCs w:val="18"/>
              </w:rPr>
              <w:t>Zhu et al. [5]</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CF0C50">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408A69E">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83520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B500C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8F46AC1">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4EC8B2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4C25D6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0D03D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692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00612F">
            <w:pPr>
              <w:jc w:val="left"/>
              <w:rPr>
                <w:rFonts w:hint="default" w:ascii="Times New Roman" w:hAnsi="Times New Roman" w:cs="Times New Roman"/>
              </w:rPr>
            </w:pPr>
            <w:r>
              <w:rPr>
                <w:rFonts w:hint="default" w:ascii="Times New Roman" w:hAnsi="Times New Roman" w:eastAsia="Arial" w:cs="Times New Roman"/>
                <w:b w:val="0"/>
                <w:bCs w:val="0"/>
                <w:sz w:val="18"/>
                <w:szCs w:val="18"/>
              </w:rPr>
              <w:t>Doukhi &amp; Lee [6]</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A11B4B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2739F91">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92740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B90FBD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93A7E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AB3F0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F8D2C4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25EC13">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759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B2E70AB">
            <w:pPr>
              <w:jc w:val="left"/>
              <w:rPr>
                <w:rFonts w:hint="default" w:ascii="Times New Roman" w:hAnsi="Times New Roman" w:cs="Times New Roman"/>
              </w:rPr>
            </w:pPr>
            <w:r>
              <w:rPr>
                <w:rFonts w:hint="default" w:ascii="Times New Roman" w:hAnsi="Times New Roman" w:eastAsia="Arial" w:cs="Times New Roman"/>
                <w:b w:val="0"/>
                <w:bCs w:val="0"/>
                <w:sz w:val="18"/>
                <w:szCs w:val="18"/>
              </w:rPr>
              <w:t>Khattak et al. [7]</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443B84A">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37BE5FB">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630A9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4ADD9D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CB18F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0640B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2C03C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6A2BB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68C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A8FC9C">
            <w:pPr>
              <w:jc w:val="left"/>
              <w:rPr>
                <w:rFonts w:hint="default" w:ascii="Times New Roman" w:hAnsi="Times New Roman" w:cs="Times New Roman"/>
              </w:rPr>
            </w:pPr>
            <w:r>
              <w:rPr>
                <w:rFonts w:hint="default" w:ascii="Times New Roman" w:hAnsi="Times New Roman" w:eastAsia="Arial" w:cs="Times New Roman"/>
                <w:b w:val="0"/>
                <w:bCs w:val="0"/>
                <w:sz w:val="18"/>
                <w:szCs w:val="18"/>
              </w:rPr>
              <w:t>Li et al. [8]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03C33D">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84F91D">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DD68B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D951F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C484E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0A10E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7BB24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C0D78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6118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67A4B5">
            <w:pPr>
              <w:jc w:val="left"/>
              <w:rPr>
                <w:rFonts w:hint="default" w:ascii="Times New Roman" w:hAnsi="Times New Roman" w:cs="Times New Roman"/>
              </w:rPr>
            </w:pPr>
            <w:r>
              <w:rPr>
                <w:rFonts w:hint="default" w:ascii="Times New Roman" w:hAnsi="Times New Roman" w:eastAsia="Arial" w:cs="Times New Roman"/>
                <w:b w:val="0"/>
                <w:bCs w:val="0"/>
                <w:sz w:val="18"/>
                <w:szCs w:val="18"/>
              </w:rPr>
              <w:t>d'Apolito et al. [9]</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0B3BDE7">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D62AB7">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EA5E3E2">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D7C20C6">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5CF25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28F44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62930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7EB0C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46F5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C322AE">
            <w:pPr>
              <w:jc w:val="left"/>
              <w:rPr>
                <w:rFonts w:hint="default" w:ascii="Times New Roman" w:hAnsi="Times New Roman" w:cs="Times New Roman"/>
              </w:rPr>
            </w:pPr>
            <w:r>
              <w:rPr>
                <w:rFonts w:hint="default" w:ascii="Times New Roman" w:hAnsi="Times New Roman" w:eastAsia="Arial" w:cs="Times New Roman"/>
                <w:b w:val="0"/>
                <w:bCs w:val="0"/>
                <w:sz w:val="18"/>
                <w:szCs w:val="18"/>
              </w:rPr>
              <w:t>Paolini et al. [10]</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C4367F">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3929F7">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B5A3DA">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5B66C5B">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9183A0">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FFD582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41BEE3">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8F9A4F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2F3C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19CC26F">
            <w:pPr>
              <w:jc w:val="left"/>
              <w:rPr>
                <w:rFonts w:hint="default" w:ascii="Times New Roman" w:hAnsi="Times New Roman" w:cs="Times New Roman"/>
              </w:rPr>
            </w:pPr>
            <w:r>
              <w:rPr>
                <w:rFonts w:hint="default" w:ascii="Times New Roman" w:hAnsi="Times New Roman" w:eastAsia="Arial" w:cs="Times New Roman"/>
                <w:b w:val="0"/>
                <w:bCs w:val="0"/>
                <w:sz w:val="18"/>
                <w:szCs w:val="18"/>
              </w:rPr>
              <w:t>Zhou et al. [11]</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573E6A">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79C5066">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C068C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6AFE3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0A6D3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4C4D39B">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A196F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9774B2A">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1643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5ACB56">
            <w:pPr>
              <w:jc w:val="left"/>
              <w:rPr>
                <w:rFonts w:hint="default" w:ascii="Times New Roman" w:hAnsi="Times New Roman" w:cs="Times New Roman"/>
              </w:rPr>
            </w:pPr>
            <w:r>
              <w:rPr>
                <w:rFonts w:hint="default" w:ascii="Times New Roman" w:hAnsi="Times New Roman" w:eastAsia="Arial" w:cs="Times New Roman"/>
                <w:b w:val="0"/>
                <w:bCs w:val="0"/>
                <w:sz w:val="18"/>
                <w:szCs w:val="18"/>
              </w:rPr>
              <w:t>Truong [12]</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F7B955">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5EE40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A964A6">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3D6A24E">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96BDA5">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E5B2CE1">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BE767A1">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E7DB7F">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r>
      <w:tr w14:paraId="65F5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75535D">
            <w:pPr>
              <w:jc w:val="left"/>
              <w:rPr>
                <w:rFonts w:hint="default" w:ascii="Times New Roman" w:hAnsi="Times New Roman" w:cs="Times New Roman"/>
              </w:rPr>
            </w:pPr>
            <w:r>
              <w:rPr>
                <w:rFonts w:hint="default" w:ascii="Times New Roman" w:hAnsi="Times New Roman" w:eastAsia="Arial" w:cs="Times New Roman"/>
                <w:b w:val="0"/>
                <w:bCs w:val="0"/>
                <w:sz w:val="18"/>
                <w:szCs w:val="18"/>
              </w:rPr>
              <w:t>Grigorescu &amp; Zaha [13]</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FC584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4841F46">
            <w:pPr>
              <w:jc w:val="center"/>
              <w:rPr>
                <w:rFonts w:hint="default" w:ascii="Times New Roman" w:hAnsi="Times New Roman" w:cs="Times New Roman"/>
              </w:rPr>
            </w:pPr>
            <w:r>
              <w:rPr>
                <w:rFonts w:hint="default" w:ascii="Times New Roman" w:hAnsi="Times New Roman" w:eastAsia="Arial" w:cs="Times New Roman"/>
                <w:b w:val="0"/>
                <w:bCs w:val="0"/>
                <w:color w:val="7A5C00"/>
                <w:sz w:val="18"/>
                <w:szCs w:val="18"/>
              </w:rPr>
              <w:t>Med</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91E07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1C234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625C0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E4370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6DA7F5">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D45A4F">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7A2E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A08FF85">
            <w:pPr>
              <w:jc w:val="left"/>
              <w:rPr>
                <w:rFonts w:hint="default" w:ascii="Times New Roman" w:hAnsi="Times New Roman" w:cs="Times New Roman"/>
              </w:rPr>
            </w:pPr>
            <w:r>
              <w:rPr>
                <w:rFonts w:hint="default" w:ascii="Times New Roman" w:hAnsi="Times New Roman" w:eastAsia="Arial" w:cs="Times New Roman"/>
                <w:b w:val="0"/>
                <w:bCs w:val="0"/>
                <w:sz w:val="18"/>
                <w:szCs w:val="18"/>
              </w:rPr>
              <w:t>Schulman et al. [17]</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ECAECD0">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3A9EA18">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6FE1F67">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00B2C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B1309E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32DAD6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DE2898">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AE3D26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r w14:paraId="658A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632F9DB">
            <w:pPr>
              <w:jc w:val="left"/>
              <w:rPr>
                <w:rFonts w:hint="default" w:ascii="Times New Roman" w:hAnsi="Times New Roman" w:cs="Times New Roman"/>
              </w:rPr>
            </w:pPr>
            <w:r>
              <w:rPr>
                <w:rFonts w:hint="default" w:ascii="Times New Roman" w:hAnsi="Times New Roman" w:eastAsia="Arial" w:cs="Times New Roman"/>
                <w:b w:val="0"/>
                <w:bCs w:val="0"/>
                <w:sz w:val="18"/>
                <w:szCs w:val="18"/>
              </w:rPr>
              <w:t>Mnih et al. [18]</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01836C">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34B264">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925FF1">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7F3FE5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E2AA6D2">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EE539AD">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2D191B">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9D57AE">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r>
      <w:tr w14:paraId="0FAD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6BA6D1E">
            <w:pPr>
              <w:jc w:val="left"/>
              <w:rPr>
                <w:rFonts w:hint="default" w:ascii="Times New Roman" w:hAnsi="Times New Roman" w:cs="Times New Roman"/>
              </w:rPr>
            </w:pPr>
            <w:r>
              <w:rPr>
                <w:rFonts w:hint="default" w:ascii="Times New Roman" w:hAnsi="Times New Roman" w:eastAsia="Arial" w:cs="Times New Roman"/>
                <w:b w:val="0"/>
                <w:bCs w:val="0"/>
                <w:sz w:val="18"/>
                <w:szCs w:val="18"/>
              </w:rPr>
              <w:t>Sutton &amp; Barto [14]</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73A1089">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F5D4AD">
            <w:pPr>
              <w:jc w:val="center"/>
              <w:rPr>
                <w:rFonts w:hint="default" w:ascii="Times New Roman" w:hAnsi="Times New Roman" w:cs="Times New Roman"/>
              </w:rPr>
            </w:pPr>
            <w:r>
              <w:rPr>
                <w:rFonts w:hint="default" w:ascii="Times New Roman" w:hAnsi="Times New Roman" w:eastAsia="Arial" w:cs="Times New Roman"/>
                <w:b w:val="0"/>
                <w:bCs w:val="0"/>
                <w:color w:val="555555"/>
                <w:sz w:val="18"/>
                <w:szCs w:val="18"/>
              </w:rPr>
              <w:t>N/A</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C30489">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5B1E00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84DB8C">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0F2CE0">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4A3F44">
            <w:pPr>
              <w:jc w:val="center"/>
              <w:rPr>
                <w:rFonts w:hint="default" w:ascii="Times New Roman" w:hAnsi="Times New Roman" w:cs="Times New Roman"/>
              </w:rPr>
            </w:pPr>
            <w:r>
              <w:rPr>
                <w:rFonts w:hint="default" w:ascii="Times New Roman" w:hAnsi="Times New Roman" w:eastAsia="Arial" w:cs="Times New Roman"/>
                <w:b w:val="0"/>
                <w:bCs w:val="0"/>
                <w:color w:val="CC0000"/>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C3C67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r w14:paraId="54C7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5F6E2302">
            <w:pPr>
              <w:jc w:val="left"/>
              <w:rPr>
                <w:rFonts w:hint="default" w:ascii="Times New Roman" w:hAnsi="Times New Roman" w:cs="Times New Roman"/>
              </w:rPr>
            </w:pPr>
            <w:r>
              <w:rPr>
                <w:rFonts w:hint="default" w:ascii="Times New Roman" w:hAnsi="Times New Roman" w:eastAsia="Arial" w:cs="Times New Roman"/>
                <w:b/>
                <w:bCs/>
                <w:sz w:val="18"/>
                <w:szCs w:val="18"/>
              </w:rPr>
              <w:t>This Work</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DCF32B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3E2DDB89">
            <w:pPr>
              <w:jc w:val="center"/>
              <w:rPr>
                <w:rFonts w:hint="default" w:ascii="Times New Roman" w:hAnsi="Times New Roman" w:cs="Times New Roman"/>
              </w:rPr>
            </w:pPr>
            <w:r>
              <w:rPr>
                <w:rFonts w:hint="default" w:ascii="Times New Roman" w:hAnsi="Times New Roman" w:eastAsia="Arial" w:cs="Times New Roman"/>
                <w:b/>
                <w:bCs/>
                <w:color w:val="1A5C1A"/>
                <w:sz w:val="18"/>
                <w:szCs w:val="18"/>
              </w:rPr>
              <w:t>High</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627A337C">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D2C0246">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14B6A892">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172B41A3">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448DE10F">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c>
          <w:tcPr>
            <w:tcBorders>
              <w:top w:val="single" w:color="999999" w:sz="0" w:space="0"/>
              <w:left w:val="single" w:color="999999" w:sz="0" w:space="0"/>
              <w:bottom w:val="single" w:color="999999" w:sz="0" w:space="0"/>
              <w:right w:val="single" w:color="999999" w:sz="0" w:space="0"/>
            </w:tcBorders>
            <w:shd w:val="clear" w:color="auto" w:fill="D9E8D9"/>
            <w:tcMar>
              <w:top w:w="80" w:type="dxa"/>
              <w:left w:w="120" w:type="dxa"/>
              <w:bottom w:w="80" w:type="dxa"/>
              <w:right w:w="120" w:type="dxa"/>
            </w:tcMar>
            <w:vAlign w:val="center"/>
          </w:tcPr>
          <w:p w14:paraId="2E69AEEE">
            <w:pPr>
              <w:jc w:val="center"/>
              <w:rPr>
                <w:rFonts w:hint="default" w:ascii="Times New Roman" w:hAnsi="Times New Roman" w:cs="Times New Roman"/>
              </w:rPr>
            </w:pPr>
            <w:r>
              <w:rPr>
                <w:rFonts w:hint="default" w:ascii="Times New Roman" w:hAnsi="Times New Roman" w:eastAsia="Arial" w:cs="Times New Roman"/>
                <w:b/>
                <w:bCs/>
                <w:color w:val="1A6B1A"/>
                <w:sz w:val="18"/>
                <w:szCs w:val="18"/>
              </w:rPr>
              <w:t>✓</w:t>
            </w:r>
          </w:p>
        </w:tc>
      </w:tr>
    </w:tbl>
    <w:p w14:paraId="21CDA43D">
      <w:pPr>
        <w:spacing w:before="240" w:after="120"/>
        <w:rPr>
          <w:rFonts w:hint="default" w:ascii="Times New Roman" w:hAnsi="Times New Roman" w:cs="Times New Roman"/>
        </w:rPr>
      </w:pPr>
    </w:p>
    <w:p w14:paraId="61926D96">
      <w:pPr>
        <w:spacing w:before="160" w:after="80"/>
        <w:jc w:val="center"/>
      </w:pPr>
      <w:r>
        <w:rPr>
          <w:rFonts w:ascii="Arial" w:hAnsi="Arial" w:eastAsia="Arial" w:cs="Arial"/>
          <w:i/>
          <w:iCs/>
          <w:color w:val="444444"/>
          <w:sz w:val="20"/>
          <w:szCs w:val="20"/>
        </w:rPr>
        <w:t>Table 1: Comparative Analysis of State-of-the-Art GNC Controllers Across Key Design Dimensions</w:t>
      </w:r>
    </w:p>
    <w:p w14:paraId="1C9AF2EB">
      <w:pPr>
        <w:spacing w:before="0" w:after="80"/>
      </w:pPr>
      <w:bookmarkStart w:id="0" w:name="_GoBack"/>
      <w:bookmarkEnd w:id="0"/>
    </w:p>
    <w:p w14:paraId="5D75BF0C">
      <w:pPr>
        <w:pStyle w:val="2"/>
        <w:pBdr>
          <w:bottom w:val="single" w:color="1F3864" w:sz="4" w:space="4"/>
        </w:pBdr>
        <w:spacing w:before="320" w:after="160"/>
      </w:pPr>
      <w:r>
        <w:rPr>
          <w:rFonts w:ascii="Times New Roman" w:hAnsi="Times New Roman" w:eastAsia="Times New Roman" w:cs="Times New Roman"/>
          <w:b/>
          <w:bCs/>
          <w:sz w:val="28"/>
          <w:szCs w:val="28"/>
        </w:rPr>
        <w:t>4. Research Gap and Justification</w:t>
      </w:r>
    </w:p>
    <w:p w14:paraId="2C1E6877">
      <w:pPr>
        <w:pStyle w:val="3"/>
        <w:spacing w:before="240" w:after="120"/>
      </w:pPr>
      <w:r>
        <w:rPr>
          <w:rFonts w:ascii="Times New Roman" w:hAnsi="Times New Roman" w:eastAsia="Times New Roman" w:cs="Times New Roman"/>
          <w:b/>
          <w:bCs/>
          <w:sz w:val="24"/>
          <w:szCs w:val="24"/>
        </w:rPr>
        <w:t>4.1 Identification of the Research Gap</w:t>
      </w:r>
    </w:p>
    <w:p w14:paraId="27F1E07A">
      <w:pPr>
        <w:spacing w:before="60" w:after="120" w:line="276" w:lineRule="auto"/>
        <w:ind w:firstLine="720"/>
        <w:jc w:val="both"/>
      </w:pPr>
      <w:r>
        <w:rPr>
          <w:rFonts w:ascii="Times New Roman" w:hAnsi="Times New Roman" w:eastAsia="Times New Roman" w:cs="Times New Roman"/>
          <w:sz w:val="22"/>
          <w:szCs w:val="22"/>
        </w:rPr>
        <w:t>The literature review reveals a critical intersection of unmet needs:</w:t>
      </w:r>
    </w:p>
    <w:p w14:paraId="1021F19F">
      <w:pPr>
        <w:spacing w:before="180" w:after="80"/>
      </w:pPr>
      <w:r>
        <w:rPr>
          <w:rFonts w:ascii="Times New Roman" w:hAnsi="Times New Roman" w:eastAsia="Times New Roman" w:cs="Times New Roman"/>
          <w:b/>
          <w:bCs/>
          <w:i/>
          <w:iCs/>
          <w:sz w:val="22"/>
          <w:szCs w:val="22"/>
        </w:rPr>
        <w:t>Gap 1 — Actuator Health as a Design Objective</w:t>
      </w:r>
    </w:p>
    <w:p w14:paraId="1B840501">
      <w:pPr>
        <w:spacing w:before="60" w:after="120" w:line="276" w:lineRule="auto"/>
        <w:ind w:firstLine="720"/>
        <w:jc w:val="both"/>
      </w:pPr>
      <w:r>
        <w:rPr>
          <w:rFonts w:ascii="Times New Roman" w:hAnsi="Times New Roman" w:eastAsia="Times New Roman" w:cs="Times New Roman"/>
          <w:sz w:val="22"/>
          <w:szCs w:val="22"/>
        </w:rPr>
        <w:t>Current aerospace RL literature treats actuator dynamics as a saturation constraint rather than a design objective. Standard reward formulations penalize tracking error but not command rate-of-change [3][4][6]. The single exception—Zhu et al. [5]—validates smoothness penalties but does not establish whether smoothness can coexist with embedded-feasible architectures. No published work defines ATV as a primary evaluation metric alongside tracking error.</w:t>
      </w:r>
    </w:p>
    <w:p w14:paraId="7C05CBF5">
      <w:pPr>
        <w:spacing w:before="180" w:after="80"/>
      </w:pPr>
      <w:r>
        <w:rPr>
          <w:rFonts w:ascii="Times New Roman" w:hAnsi="Times New Roman" w:eastAsia="Times New Roman" w:cs="Times New Roman"/>
          <w:b/>
          <w:bCs/>
          <w:i/>
          <w:iCs/>
          <w:sz w:val="22"/>
          <w:szCs w:val="22"/>
        </w:rPr>
        <w:t>Gap 2 — Lightweight RL Architecture for Embedded Platforms</w:t>
      </w:r>
    </w:p>
    <w:p w14:paraId="0666C9CD">
      <w:pPr>
        <w:spacing w:before="60" w:after="120" w:line="276" w:lineRule="auto"/>
        <w:ind w:firstLine="720"/>
        <w:jc w:val="both"/>
      </w:pPr>
      <w:r>
        <w:rPr>
          <w:rFonts w:ascii="Times New Roman" w:hAnsi="Times New Roman" w:eastAsia="Times New Roman" w:cs="Times New Roman"/>
          <w:sz w:val="22"/>
          <w:szCs w:val="22"/>
        </w:rPr>
        <w:t>Deep RL architectures dominate the literature, yet they are computationally infeasible on embedded aerospace platforms [7][9]. Khattak et al. [7] document this barrier without proposing solutions. Tabular RL with tile coding—which has established convergence guarantees [14][15]—remains unexplored for aerospace GNC. This represents both a computational gap and a theoretical opportunity: lightweight architectures offer stronger formal guarantees than deep RL.</w:t>
      </w:r>
    </w:p>
    <w:p w14:paraId="7D3F3E1B">
      <w:pPr>
        <w:spacing w:before="180" w:after="80"/>
      </w:pPr>
      <w:r>
        <w:rPr>
          <w:rFonts w:ascii="Times New Roman" w:hAnsi="Times New Roman" w:eastAsia="Times New Roman" w:cs="Times New Roman"/>
          <w:b/>
          <w:bCs/>
          <w:i/>
          <w:iCs/>
          <w:sz w:val="22"/>
          <w:szCs w:val="22"/>
        </w:rPr>
        <w:t>Gap 3 — Quantitative Actuator Health Metrics</w:t>
      </w:r>
    </w:p>
    <w:p w14:paraId="3329B3B1">
      <w:pPr>
        <w:spacing w:before="60" w:after="120" w:line="276" w:lineRule="auto"/>
        <w:ind w:firstLine="720"/>
        <w:jc w:val="both"/>
      </w:pPr>
      <w:r>
        <w:rPr>
          <w:rFonts w:ascii="Times New Roman" w:hAnsi="Times New Roman" w:eastAsia="Times New Roman" w:cs="Times New Roman"/>
          <w:sz w:val="22"/>
          <w:szCs w:val="22"/>
        </w:rPr>
        <w:t>Aerospace RL literature universally reports tracking error, settling time, and success rate [3][4][6]. No standard metric quantifies actuator mechanical work or fatigue risk. The mechanical fatigue literature [10] documents physical mechanisms but does not provide control-theoretic metrics integrable with RL evaluation protocols.</w:t>
      </w:r>
    </w:p>
    <w:p w14:paraId="71F36750">
      <w:pPr>
        <w:spacing w:before="180" w:after="80"/>
      </w:pPr>
      <w:r>
        <w:rPr>
          <w:rFonts w:ascii="Times New Roman" w:hAnsi="Times New Roman" w:eastAsia="Times New Roman" w:cs="Times New Roman"/>
          <w:b/>
          <w:bCs/>
          <w:i/>
          <w:iCs/>
          <w:sz w:val="22"/>
          <w:szCs w:val="22"/>
        </w:rPr>
        <w:t>Gap 4 — Integration of Embedded Feasibility with High Performance</w:t>
      </w:r>
    </w:p>
    <w:p w14:paraId="45D413B1">
      <w:pPr>
        <w:spacing w:before="60" w:after="120" w:line="276" w:lineRule="auto"/>
        <w:ind w:firstLine="720"/>
        <w:jc w:val="both"/>
      </w:pPr>
      <w:r>
        <w:rPr>
          <w:rFonts w:ascii="Times New Roman" w:hAnsi="Times New Roman" w:eastAsia="Times New Roman" w:cs="Times New Roman"/>
          <w:sz w:val="22"/>
          <w:szCs w:val="22"/>
        </w:rPr>
        <w:t>Existing work achieves either (a) high tracking performance through deep RL, sacrificing embedded feasibility [3][4][17][18], or (b) embedded-feasible controllers (PID) that lack nonlinear capability [1][16]. No framework currently achieves both objectives simultaneously with formal convergence guarantees.</w:t>
      </w:r>
    </w:p>
    <w:p w14:paraId="79B1AE89">
      <w:pPr>
        <w:spacing w:before="180" w:after="80"/>
      </w:pPr>
      <w:r>
        <w:rPr>
          <w:rFonts w:ascii="Times New Roman" w:hAnsi="Times New Roman" w:eastAsia="Times New Roman" w:cs="Times New Roman"/>
          <w:b/>
          <w:bCs/>
          <w:i/>
          <w:iCs/>
          <w:sz w:val="22"/>
          <w:szCs w:val="22"/>
        </w:rPr>
        <w:t>Gap 5 — Formal Convergence Analysis in the Aerospace Context</w:t>
      </w:r>
    </w:p>
    <w:p w14:paraId="0452C132">
      <w:pPr>
        <w:spacing w:before="60" w:after="120" w:line="276" w:lineRule="auto"/>
        <w:ind w:firstLine="720"/>
        <w:jc w:val="both"/>
      </w:pPr>
      <w:r>
        <w:rPr>
          <w:rFonts w:ascii="Times New Roman" w:hAnsi="Times New Roman" w:eastAsia="Times New Roman" w:cs="Times New Roman"/>
          <w:sz w:val="22"/>
          <w:szCs w:val="22"/>
        </w:rPr>
        <w:t>While tabular Q-learning with tile coding has well-established convergence properties [14][15], these have not been formally established in the aerospace GNC context. The specific structure of spacecraft attitude dynamics—multi-axis gyroscopic coupling, nonlinear thruster allocation, autocorrelated disturbances—must be verified compatible with the convergence conditions of tabular RL theory.</w:t>
      </w:r>
    </w:p>
    <w:p w14:paraId="7BAE89C7">
      <w:pPr>
        <w:pStyle w:val="3"/>
        <w:spacing w:before="240" w:after="120"/>
      </w:pPr>
      <w:r>
        <w:rPr>
          <w:rFonts w:ascii="Times New Roman" w:hAnsi="Times New Roman" w:eastAsia="Times New Roman" w:cs="Times New Roman"/>
          <w:b/>
          <w:bCs/>
          <w:sz w:val="24"/>
          <w:szCs w:val="24"/>
        </w:rPr>
        <w:t>4.2 Justification for the Research Direction</w:t>
      </w:r>
    </w:p>
    <w:p w14:paraId="4AF072B2">
      <w:pPr>
        <w:spacing w:before="60" w:after="120" w:line="276" w:lineRule="auto"/>
        <w:ind w:firstLine="720"/>
        <w:jc w:val="both"/>
      </w:pPr>
      <w:r>
        <w:rPr>
          <w:rFonts w:ascii="Times New Roman" w:hAnsi="Times New Roman" w:eastAsia="Times New Roman" w:cs="Times New Roman"/>
          <w:sz w:val="22"/>
          <w:szCs w:val="22"/>
        </w:rPr>
        <w:t>Evidence 1 — Hardware Failure Data: Paolini et al. [10] and Zhou et al. [11] document that control policies producing command switching at 10–50 Hz reduce component lifespans from 10^4 to 10^3 cycles. This represents an engineering problem of direct operational significance, not a theoretical concern.</w:t>
      </w:r>
    </w:p>
    <w:p w14:paraId="5D92EAA6">
      <w:pPr>
        <w:spacing w:before="60" w:after="120" w:line="276" w:lineRule="auto"/>
        <w:ind w:firstLine="720"/>
        <w:jc w:val="both"/>
      </w:pPr>
      <w:r>
        <w:rPr>
          <w:rFonts w:ascii="Times New Roman" w:hAnsi="Times New Roman" w:eastAsia="Times New Roman" w:cs="Times New Roman"/>
          <w:sz w:val="22"/>
          <w:szCs w:val="22"/>
        </w:rPr>
        <w:t>Evidence 2 — Sim-to-Real Performance Loss: Khanzada et al. [3] and Khattak et al. [7] report 35% performance degradation in sim-to-real transfer, attributed to simulator idealization of actuator dynamics. Explicit smoothness penalties in reward design may improve robustness to actuator imperfections that are absent in simulation [5][13].</w:t>
      </w:r>
    </w:p>
    <w:p w14:paraId="189E6A53">
      <w:pPr>
        <w:spacing w:before="60" w:after="120" w:line="276" w:lineRule="auto"/>
        <w:ind w:firstLine="720"/>
        <w:jc w:val="both"/>
      </w:pPr>
      <w:r>
        <w:rPr>
          <w:rFonts w:ascii="Times New Roman" w:hAnsi="Times New Roman" w:eastAsia="Times New Roman" w:cs="Times New Roman"/>
          <w:sz w:val="22"/>
          <w:szCs w:val="22"/>
        </w:rPr>
        <w:t>Evidence 3 — Cross-Domain Precedent for Embedded Learning: Tabular RL is widely established in robotics navigation, PLC-based industrial control, and resource-constrained autonomous systems. The convergence-guaranteed framework of Sutton and Barto [14] demonstrates applicability across domains where computational constraints prohibit deep architectures.</w:t>
      </w:r>
    </w:p>
    <w:p w14:paraId="09312A03">
      <w:pPr>
        <w:spacing w:before="60" w:after="120" w:line="276" w:lineRule="auto"/>
        <w:ind w:firstLine="720"/>
        <w:jc w:val="both"/>
      </w:pPr>
      <w:r>
        <w:rPr>
          <w:rFonts w:ascii="Times New Roman" w:hAnsi="Times New Roman" w:eastAsia="Times New Roman" w:cs="Times New Roman"/>
          <w:sz w:val="22"/>
          <w:szCs w:val="22"/>
        </w:rPr>
        <w:t>Evidence 4 — Convergence Theory Availability: Unlike deep RL, which offers only asymptotic convergence under restrictive assumptions, tabular Q-learning with tile-coded approximation has classical convergence results established by Sutton and Barto [14] and formalized by Bertsekas [15]. These results apply directly, providing formal assurance unavailable in deep RL literature.</w:t>
      </w:r>
    </w:p>
    <w:p w14:paraId="4DA39139">
      <w:pPr>
        <w:pStyle w:val="3"/>
        <w:spacing w:before="240" w:after="120"/>
      </w:pPr>
      <w:r>
        <w:rPr>
          <w:rFonts w:ascii="Times New Roman" w:hAnsi="Times New Roman" w:eastAsia="Times New Roman" w:cs="Times New Roman"/>
          <w:b/>
          <w:bCs/>
          <w:sz w:val="24"/>
          <w:szCs w:val="24"/>
        </w:rPr>
        <w:t>4.3 Positioning of the Present Work</w:t>
      </w:r>
    </w:p>
    <w:p w14:paraId="23DB9D5E">
      <w:pPr>
        <w:spacing w:before="60" w:after="120" w:line="276" w:lineRule="auto"/>
        <w:ind w:firstLine="720"/>
        <w:jc w:val="both"/>
      </w:pPr>
      <w:r>
        <w:rPr>
          <w:rFonts w:ascii="Times New Roman" w:hAnsi="Times New Roman" w:eastAsia="Times New Roman" w:cs="Times New Roman"/>
          <w:sz w:val="22"/>
          <w:szCs w:val="22"/>
        </w:rPr>
        <w:t>The present research addresses these gaps through Constraint-Aware Reinforcement Learning (CA-RL), which contributes: (1) a reward formulation explicitly penalizing actuator switching and control effort; (2) a lightweight tabular Q-learning architecture with tile-coded state discretization enabling embedded deployment; (3) formal convergence analysis proving near-optimal policy convergence; (4) Actuator Total Variation (ATV) as a primary evaluation metric for hardware wear quantification; and (5) a high-fidelity simulation environment with Dryden-model disturbances and realistic actuator latency for rigorous comparative assessment.</w:t>
      </w:r>
    </w:p>
    <w:p w14:paraId="09476F31">
      <w:pPr>
        <w:spacing w:before="0" w:after="80"/>
      </w:pPr>
    </w:p>
    <w:p w14:paraId="7B649E82">
      <w:pPr>
        <w:pStyle w:val="2"/>
        <w:pBdr>
          <w:bottom w:val="single" w:color="1F3864" w:sz="4" w:space="4"/>
        </w:pBdr>
        <w:spacing w:before="320" w:after="160"/>
      </w:pPr>
      <w:r>
        <w:rPr>
          <w:rFonts w:ascii="Times New Roman" w:hAnsi="Times New Roman" w:eastAsia="Times New Roman" w:cs="Times New Roman"/>
          <w:b/>
          <w:bCs/>
          <w:sz w:val="28"/>
          <w:szCs w:val="28"/>
        </w:rPr>
        <w:t>5. Methodology</w:t>
      </w:r>
    </w:p>
    <w:p w14:paraId="534C15C9">
      <w:pPr>
        <w:pStyle w:val="3"/>
        <w:spacing w:before="240" w:after="120"/>
      </w:pPr>
      <w:r>
        <w:rPr>
          <w:rFonts w:ascii="Times New Roman" w:hAnsi="Times New Roman" w:eastAsia="Times New Roman" w:cs="Times New Roman"/>
          <w:b/>
          <w:bCs/>
          <w:sz w:val="24"/>
          <w:szCs w:val="24"/>
        </w:rPr>
        <w:t>5.1 Research Workflow</w:t>
      </w:r>
    </w:p>
    <w:p w14:paraId="7554CF20">
      <w:pPr>
        <w:spacing w:before="60" w:after="120" w:line="276" w:lineRule="auto"/>
        <w:ind w:firstLine="720"/>
        <w:jc w:val="both"/>
      </w:pPr>
      <w:r>
        <w:rPr>
          <w:rFonts w:ascii="Times New Roman" w:hAnsi="Times New Roman" w:eastAsia="Times New Roman" w:cs="Times New Roman"/>
          <w:sz w:val="22"/>
          <w:szCs w:val="22"/>
        </w:rPr>
        <w:t>The methodology is structured as a logical pipeline from system physics to policy deployment and evaluation. The complete workflow is presented in Figure 1 below.</w:t>
      </w:r>
    </w:p>
    <w:p w14:paraId="5E757C96">
      <w:pPr>
        <w:spacing w:before="0" w:after="80"/>
      </w:pPr>
    </w:p>
    <w:p w14:paraId="467CEBD9">
      <w:pPr>
        <w:spacing w:before="160" w:after="120"/>
        <w:jc w:val="center"/>
      </w:pPr>
      <w:r>
        <w:rPr>
          <w:rFonts w:ascii="Times New Roman" w:hAnsi="Times New Roman" w:eastAsia="Times New Roman" w:cs="Times New Roman"/>
          <w:b/>
          <w:bCs/>
          <w:i/>
          <w:iCs/>
          <w:sz w:val="22"/>
          <w:szCs w:val="22"/>
        </w:rPr>
        <w:t>Figure 1: CA-RL System Research Methodology Flowchart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7A8C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AEEF3"/>
            <w:tcMar>
              <w:top w:w="80" w:type="dxa"/>
              <w:left w:w="160" w:type="dxa"/>
              <w:bottom w:w="80" w:type="dxa"/>
              <w:right w:w="160" w:type="dxa"/>
            </w:tcMar>
          </w:tcPr>
          <w:p w14:paraId="3BBB5A90">
            <w:pPr>
              <w:jc w:val="center"/>
            </w:pPr>
            <w:r>
              <w:rPr>
                <w:rFonts w:ascii="Times New Roman" w:hAnsi="Times New Roman" w:eastAsia="Times New Roman" w:cs="Times New Roman"/>
                <w:b/>
                <w:bCs/>
                <w:sz w:val="20"/>
                <w:szCs w:val="20"/>
              </w:rPr>
              <w:t>STEP 1: Problem Identification
GNC limitations of PID, MPC &amp; standard RL in aerospace systems
[1][2][3][7][16]</w:t>
            </w:r>
          </w:p>
        </w:tc>
      </w:tr>
    </w:tbl>
    <w:p w14:paraId="5A1E4AC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4FE6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AEEF3"/>
            <w:tcMar>
              <w:top w:w="80" w:type="dxa"/>
              <w:left w:w="160" w:type="dxa"/>
              <w:bottom w:w="80" w:type="dxa"/>
              <w:right w:w="160" w:type="dxa"/>
            </w:tcMar>
          </w:tcPr>
          <w:p w14:paraId="582ECE4D">
            <w:pPr>
              <w:jc w:val="center"/>
            </w:pPr>
            <w:r>
              <w:rPr>
                <w:rFonts w:ascii="Times New Roman" w:hAnsi="Times New Roman" w:eastAsia="Times New Roman" w:cs="Times New Roman"/>
                <w:b/>
                <w:bCs/>
                <w:sz w:val="20"/>
                <w:szCs w:val="20"/>
              </w:rPr>
              <w:t>STEP 2: Literature Review &amp; Gap Analysis
Survey of classical control, deep RL, hybrid RL-MPC, embedded systems
Identify: No ATV metric | No embedded-feasible RL | No smooth reward
[1]–[13], [17]–[22]</w:t>
            </w:r>
          </w:p>
        </w:tc>
      </w:tr>
    </w:tbl>
    <w:p w14:paraId="0684B0A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692B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60" w:type="dxa"/>
              <w:bottom w:w="80" w:type="dxa"/>
              <w:right w:w="160" w:type="dxa"/>
            </w:tcMar>
          </w:tcPr>
          <w:p w14:paraId="6A83B3EC">
            <w:pPr>
              <w:jc w:val="center"/>
            </w:pPr>
            <w:r>
              <w:rPr>
                <w:rFonts w:ascii="Times New Roman" w:hAnsi="Times New Roman" w:eastAsia="Times New Roman" w:cs="Times New Roman"/>
                <w:b/>
                <w:bCs/>
                <w:sz w:val="20"/>
                <w:szCs w:val="20"/>
              </w:rPr>
              <w:t>STEP 3: System Modeling
Rigid-body spacecraft dynamics (Euler equations)
Thruster allocation matrix B | Dryden disturbance model
[8][16][19]</w:t>
            </w:r>
          </w:p>
        </w:tc>
      </w:tr>
    </w:tbl>
    <w:p w14:paraId="3E37FF4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FA7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60" w:type="dxa"/>
              <w:bottom w:w="80" w:type="dxa"/>
              <w:right w:w="160" w:type="dxa"/>
            </w:tcMar>
          </w:tcPr>
          <w:p w14:paraId="490B4C3D">
            <w:pPr>
              <w:jc w:val="center"/>
            </w:pPr>
            <w:r>
              <w:rPr>
                <w:rFonts w:ascii="Times New Roman" w:hAnsi="Times New Roman" w:eastAsia="Times New Roman" w:cs="Times New Roman"/>
                <w:b/>
                <w:bCs/>
                <w:sz w:val="20"/>
                <w:szCs w:val="20"/>
              </w:rPr>
              <w:t>STEP 4: State-Space Discretization
Tile coding (K=4 tilings, Ns=1000 states)
δω=0.1 rad/s, δe=0.05 rad, δa=0.25
[14][15]</w:t>
            </w:r>
          </w:p>
        </w:tc>
      </w:tr>
    </w:tbl>
    <w:p w14:paraId="64EB5225">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2C76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3C5DF1B3">
            <w:pPr>
              <w:jc w:val="center"/>
            </w:pPr>
            <w:r>
              <w:rPr>
                <w:rFonts w:ascii="Times New Roman" w:hAnsi="Times New Roman" w:eastAsia="Times New Roman" w:cs="Times New Roman"/>
                <w:b/>
                <w:bCs/>
                <w:sz w:val="20"/>
                <w:szCs w:val="20"/>
              </w:rPr>
              <w:t>STEP 5: Constraint-Aware Reward Design
Rtotal = Rperf + Rsmooth
k1=0.5 (switching penalty), k2=0.1 (energy penalty)
[5][11][13]</w:t>
            </w:r>
          </w:p>
        </w:tc>
      </w:tr>
    </w:tbl>
    <w:p w14:paraId="10C38A56">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6A46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005BD93B">
            <w:pPr>
              <w:jc w:val="center"/>
            </w:pPr>
            <w:r>
              <w:rPr>
                <w:rFonts w:ascii="Times New Roman" w:hAnsi="Times New Roman" w:eastAsia="Times New Roman" w:cs="Times New Roman"/>
                <w:b/>
                <w:bCs/>
                <w:sz w:val="20"/>
                <w:szCs w:val="20"/>
              </w:rPr>
              <w:t>STEP 6: Tabular Q-Learning Training
2000 episodes × 500 timesteps | α=0.01, γ=0.99
ε-greedy decay: 1.00 → 0.05 over 1000 episodes
[14][15][17]</w:t>
            </w:r>
          </w:p>
        </w:tc>
      </w:tr>
    </w:tbl>
    <w:p w14:paraId="3C43C68B">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E98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60" w:type="dxa"/>
              <w:bottom w:w="80" w:type="dxa"/>
              <w:right w:w="160" w:type="dxa"/>
            </w:tcMar>
          </w:tcPr>
          <w:p w14:paraId="57DD207E">
            <w:pPr>
              <w:jc w:val="center"/>
            </w:pPr>
            <w:r>
              <w:rPr>
                <w:rFonts w:ascii="Times New Roman" w:hAnsi="Times New Roman" w:eastAsia="Times New Roman" w:cs="Times New Roman"/>
                <w:b/>
                <w:bCs/>
                <w:sz w:val="20"/>
                <w:szCs w:val="20"/>
              </w:rPr>
              <w:t>STEP 7: Theoretical Convergence Proof
Robbins-Monro conditions verified
Finite-state MDP convergence guarantee
[14][15]</w:t>
            </w:r>
          </w:p>
        </w:tc>
      </w:tr>
    </w:tbl>
    <w:p w14:paraId="0684FD1E">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50E0C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60" w:type="dxa"/>
              <w:bottom w:w="80" w:type="dxa"/>
              <w:right w:w="160" w:type="dxa"/>
            </w:tcMar>
          </w:tcPr>
          <w:p w14:paraId="187F7D59">
            <w:pPr>
              <w:jc w:val="center"/>
            </w:pPr>
            <w:r>
              <w:rPr>
                <w:rFonts w:ascii="Times New Roman" w:hAnsi="Times New Roman" w:eastAsia="Times New Roman" w:cs="Times New Roman"/>
                <w:b/>
                <w:bCs/>
                <w:sz w:val="20"/>
                <w:szCs w:val="20"/>
              </w:rPr>
              <w:t>STEP 8: Three-Way Comparative Evaluation
PID vs. Standard RL vs. CA-RL
Metrics: SSE | Settling Time | ATV | CE | Disturbance Rejection
[1][3][4]</w:t>
            </w:r>
          </w:p>
        </w:tc>
      </w:tr>
    </w:tbl>
    <w:p w14:paraId="6EAE500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7413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60" w:type="dxa"/>
              <w:bottom w:w="80" w:type="dxa"/>
              <w:right w:w="160" w:type="dxa"/>
            </w:tcMar>
          </w:tcPr>
          <w:p w14:paraId="4CC8AF86">
            <w:pPr>
              <w:jc w:val="center"/>
            </w:pPr>
            <w:r>
              <w:rPr>
                <w:rFonts w:ascii="Times New Roman" w:hAnsi="Times New Roman" w:eastAsia="Times New Roman" w:cs="Times New Roman"/>
                <w:b/>
                <w:bCs/>
                <w:sz w:val="20"/>
                <w:szCs w:val="20"/>
              </w:rPr>
              <w:t>STEP 9: Monte Carlo Robustness Testing
500 episodes, varied initial conditions &amp; disturbance seeds
Statistical bounds: mean ± std across all metrics</w:t>
            </w:r>
          </w:p>
        </w:tc>
      </w:tr>
    </w:tbl>
    <w:p w14:paraId="69F6DC90">
      <w:pPr>
        <w:spacing w:before="40" w:after="40"/>
        <w:jc w:val="center"/>
      </w:pPr>
      <w:r>
        <w:rPr>
          <w:rFonts w:ascii="Arial" w:hAnsi="Arial" w:eastAsia="Arial" w:cs="Arial"/>
          <w:color w:val="1F3864"/>
          <w:sz w:val="24"/>
          <w:szCs w:val="24"/>
        </w:rPr>
        <w: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1A08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single" w:color="AAAAAA" w:sz="0" w:space="0"/>
              <w:left w:val="single" w:color="AAAAAA" w:sz="0" w:space="0"/>
              <w:bottom w:val="single" w:color="AAAAAA" w:sz="0" w:space="0"/>
              <w:right w:val="single" w:color="AAAAAA" w:sz="0" w:space="0"/>
            </w:tcBorders>
            <w:shd w:val="clear" w:color="auto" w:fill="D6D6D6"/>
            <w:tcMar>
              <w:top w:w="80" w:type="dxa"/>
              <w:left w:w="160" w:type="dxa"/>
              <w:bottom w:w="80" w:type="dxa"/>
              <w:right w:w="160" w:type="dxa"/>
            </w:tcMar>
          </w:tcPr>
          <w:p w14:paraId="242E7EFC">
            <w:pPr>
              <w:jc w:val="center"/>
            </w:pPr>
            <w:r>
              <w:rPr>
                <w:rFonts w:ascii="Times New Roman" w:hAnsi="Times New Roman" w:eastAsia="Times New Roman" w:cs="Times New Roman"/>
                <w:b/>
                <w:bCs/>
                <w:sz w:val="20"/>
                <w:szCs w:val="20"/>
              </w:rPr>
              <w:t>STEP 10: Analysis &amp; Publication
Results interpreted | Contributions documented
Journal submission (IEEE format)</w:t>
            </w:r>
          </w:p>
        </w:tc>
      </w:tr>
    </w:tbl>
    <w:p w14:paraId="144D1E7D">
      <w:pPr>
        <w:spacing w:before="0" w:after="160"/>
      </w:pPr>
    </w:p>
    <w:p w14:paraId="1A43DB92">
      <w:pPr>
        <w:pStyle w:val="3"/>
        <w:spacing w:before="240" w:after="120"/>
      </w:pPr>
      <w:r>
        <w:rPr>
          <w:rFonts w:ascii="Times New Roman" w:hAnsi="Times New Roman" w:eastAsia="Times New Roman" w:cs="Times New Roman"/>
          <w:b/>
          <w:bCs/>
          <w:sz w:val="24"/>
          <w:szCs w:val="24"/>
        </w:rPr>
        <w:t>5.2 System Model: Rigid-Body Rotational Dynamics</w:t>
      </w:r>
    </w:p>
    <w:p w14:paraId="6E1072A9">
      <w:pPr>
        <w:spacing w:before="60" w:after="120" w:line="276" w:lineRule="auto"/>
        <w:ind w:firstLine="720"/>
        <w:jc w:val="both"/>
      </w:pPr>
      <w:r>
        <w:rPr>
          <w:rFonts w:ascii="Times New Roman" w:hAnsi="Times New Roman" w:eastAsia="Times New Roman" w:cs="Times New Roman"/>
          <w:sz w:val="22"/>
          <w:szCs w:val="22"/>
        </w:rPr>
        <w:t>The spacecraft is assumed to be a rigid body whose inertia tensor, J_B, is diag(0.82, 0.95, 1.10) kg·m². The rotational dynamics are governed by Euler's equations [8][16]:</w:t>
      </w:r>
    </w:p>
    <w:p w14:paraId="2AFACB9D">
      <w:pPr>
        <w:spacing w:before="80" w:after="80"/>
        <w:jc w:val="center"/>
      </w:pPr>
      <w:r>
        <w:rPr>
          <w:rFonts w:ascii="Courier New" w:hAnsi="Courier New" w:eastAsia="Courier New" w:cs="Courier New"/>
          <w:i/>
          <w:iCs/>
          <w:sz w:val="22"/>
          <w:szCs w:val="22"/>
        </w:rPr>
        <w:t>J_B · ω̇ + ω × (J_B · ω) = τ_ctrl + τ_dist     (4)</w:t>
      </w:r>
    </w:p>
    <w:p w14:paraId="2B7F05CB">
      <w:pPr>
        <w:spacing w:before="60" w:after="120" w:line="276" w:lineRule="auto"/>
        <w:ind w:firstLine="720"/>
        <w:jc w:val="both"/>
      </w:pPr>
      <w:r>
        <w:rPr>
          <w:rFonts w:ascii="Times New Roman" w:hAnsi="Times New Roman" w:eastAsia="Times New Roman" w:cs="Times New Roman"/>
          <w:sz w:val="22"/>
          <w:szCs w:val="22"/>
        </w:rPr>
        <w:t>where ω is angular velocity in the body frame, τ_ctrl is the control torque from thruster allocation, and τ_dist is external disturbance. The gyroscopic coupling term ω × (J_B · ω) yields cross-axis torques proportional to (J_i − J_j)ω_i·ω_j, and therefore single-axis PID controllers are inherently poor in compound maneuvers [8][16].</w:t>
      </w:r>
    </w:p>
    <w:p w14:paraId="7712D8F3">
      <w:pPr>
        <w:spacing w:before="180" w:after="80"/>
      </w:pPr>
      <w:r>
        <w:rPr>
          <w:rFonts w:ascii="Times New Roman" w:hAnsi="Times New Roman" w:eastAsia="Times New Roman" w:cs="Times New Roman"/>
          <w:b/>
          <w:bCs/>
          <w:i/>
          <w:iCs/>
          <w:sz w:val="22"/>
          <w:szCs w:val="22"/>
        </w:rPr>
        <w:t>5.2.1 Thruster Allocation and Multi-Axis Coupling</w:t>
      </w:r>
    </w:p>
    <w:p w14:paraId="2297B411">
      <w:pPr>
        <w:spacing w:before="60" w:after="120" w:line="276" w:lineRule="auto"/>
        <w:ind w:firstLine="720"/>
        <w:jc w:val="both"/>
      </w:pPr>
      <w:r>
        <w:rPr>
          <w:rFonts w:ascii="Times New Roman" w:hAnsi="Times New Roman" w:eastAsia="Times New Roman" w:cs="Times New Roman"/>
          <w:sz w:val="22"/>
          <w:szCs w:val="22"/>
        </w:rPr>
        <w:t>There are four thrusters that are symmetrically located around the center of mass. The body-frame torques are mapped to body-frame commands with the 3×4 allocation matrix B:</w:t>
      </w:r>
    </w:p>
    <w:p w14:paraId="570425A0">
      <w:pPr>
        <w:spacing w:before="80" w:after="80"/>
        <w:jc w:val="center"/>
      </w:pPr>
      <w:r>
        <w:rPr>
          <w:rFonts w:ascii="Courier New" w:hAnsi="Courier New" w:eastAsia="Courier New" w:cs="Courier New"/>
          <w:i/>
          <w:iCs/>
          <w:sz w:val="22"/>
          <w:szCs w:val="22"/>
        </w:rPr>
        <w:t>B = [[0, 0, 0.20, −0.20], [0.20, −0.20, 0, 0], [0.18, 0.18, 0.22, 0.22]]     (5)</w:t>
      </w:r>
    </w:p>
    <w:p w14:paraId="2164B1D2">
      <w:pPr>
        <w:spacing w:before="60" w:after="120" w:line="276" w:lineRule="auto"/>
        <w:ind w:firstLine="720"/>
        <w:jc w:val="both"/>
      </w:pPr>
      <w:r>
        <w:rPr>
          <w:rFonts w:ascii="Times New Roman" w:hAnsi="Times New Roman" w:eastAsia="Times New Roman" w:cs="Times New Roman"/>
          <w:sz w:val="22"/>
          <w:szCs w:val="22"/>
        </w:rPr>
        <w:t>where each column is the moment-arm relationships (in meters) of one thruster on roll axis, pitch axis, and yaw axis respectively. Normalized commands a_t ∈ [−1,1]^4 are converted to thrust forces via f_i = 5.0 × σ(a_i) N, where σ is a saturation function, and the resulting control torque is:</w:t>
      </w:r>
    </w:p>
    <w:p w14:paraId="533B98AB">
      <w:pPr>
        <w:spacing w:before="80" w:after="80"/>
        <w:jc w:val="center"/>
      </w:pPr>
      <w:r>
        <w:rPr>
          <w:rFonts w:ascii="Courier New" w:hAnsi="Courier New" w:eastAsia="Courier New" w:cs="Courier New"/>
          <w:i/>
          <w:iCs/>
          <w:sz w:val="22"/>
          <w:szCs w:val="22"/>
        </w:rPr>
        <w:t>τ_ctrl = B · f_t + η_lat,   η_lat ~ N(0, 0.05² · I)     (6)</w:t>
      </w:r>
    </w:p>
    <w:p w14:paraId="67AF3AC4">
      <w:pPr>
        <w:spacing w:before="60" w:after="120" w:line="276" w:lineRule="auto"/>
        <w:ind w:firstLine="720"/>
        <w:jc w:val="both"/>
      </w:pPr>
      <w:r>
        <w:rPr>
          <w:rFonts w:ascii="Times New Roman" w:hAnsi="Times New Roman" w:eastAsia="Times New Roman" w:cs="Times New Roman"/>
          <w:sz w:val="22"/>
          <w:szCs w:val="22"/>
        </w:rPr>
        <w:t>The result of this critical design is that a single thruster firing generates a torque on all three body axes within the same time frame, and a multi-axis coordinated policy is required, which cannot be achieved with single-axis PID [8].</w:t>
      </w:r>
    </w:p>
    <w:p w14:paraId="00A1E1AA">
      <w:pPr>
        <w:spacing w:before="180" w:after="80"/>
      </w:pPr>
      <w:r>
        <w:rPr>
          <w:rFonts w:ascii="Times New Roman" w:hAnsi="Times New Roman" w:eastAsia="Times New Roman" w:cs="Times New Roman"/>
          <w:b/>
          <w:bCs/>
          <w:i/>
          <w:iCs/>
          <w:sz w:val="22"/>
          <w:szCs w:val="22"/>
        </w:rPr>
        <w:t>5.2.2 Environmental Disturbance Model</w:t>
      </w:r>
    </w:p>
    <w:p w14:paraId="2121423B">
      <w:pPr>
        <w:spacing w:before="60" w:after="120" w:line="276" w:lineRule="auto"/>
        <w:ind w:firstLine="720"/>
        <w:jc w:val="both"/>
      </w:pPr>
      <w:r>
        <w:rPr>
          <w:rFonts w:ascii="Times New Roman" w:hAnsi="Times New Roman" w:eastAsia="Times New Roman" w:cs="Times New Roman"/>
          <w:sz w:val="22"/>
          <w:szCs w:val="22"/>
        </w:rPr>
        <w:t>External disturbances are added to a constant bias modeling the gravity gradient and constant magnetic torque in the steady state with an autocorrelated stochastic term modeling atmospheric turbulence [8]:</w:t>
      </w:r>
    </w:p>
    <w:p w14:paraId="7BA27754">
      <w:pPr>
        <w:spacing w:before="80" w:after="80"/>
        <w:jc w:val="center"/>
      </w:pPr>
      <w:r>
        <w:rPr>
          <w:rFonts w:ascii="Courier New" w:hAnsi="Courier New" w:eastAsia="Courier New" w:cs="Courier New"/>
          <w:i/>
          <w:iCs/>
          <w:sz w:val="22"/>
          <w:szCs w:val="22"/>
        </w:rPr>
        <w:t>τ_dist = [0.02, −0.01, 0.03]ᵀ + w_t     (7)</w:t>
      </w:r>
    </w:p>
    <w:p w14:paraId="6CADEBAB">
      <w:pPr>
        <w:spacing w:before="60" w:after="120" w:line="276" w:lineRule="auto"/>
        <w:ind w:firstLine="720"/>
        <w:jc w:val="both"/>
      </w:pPr>
      <w:r>
        <w:rPr>
          <w:rFonts w:ascii="Times New Roman" w:hAnsi="Times New Roman" w:eastAsia="Times New Roman" w:cs="Times New Roman"/>
          <w:sz w:val="22"/>
          <w:szCs w:val="22"/>
        </w:rPr>
        <w:t>where w_t follows a first-order Gaussian Markov (Dryden wind gust) process:</w:t>
      </w:r>
    </w:p>
    <w:p w14:paraId="6759CB74">
      <w:pPr>
        <w:spacing w:before="80" w:after="80"/>
        <w:jc w:val="center"/>
      </w:pPr>
      <w:r>
        <w:rPr>
          <w:rFonts w:ascii="Courier New" w:hAnsi="Courier New" w:eastAsia="Courier New" w:cs="Courier New"/>
          <w:i/>
          <w:iCs/>
          <w:sz w:val="22"/>
          <w:szCs w:val="22"/>
        </w:rPr>
        <w:t>w_t = 0.95 · w_(t−1) + √(1 − 0.95²) · z_t,   z_t ~ N(0, 0.03² · I)     (8)</w:t>
      </w:r>
    </w:p>
    <w:p w14:paraId="4987F474">
      <w:pPr>
        <w:spacing w:before="60" w:after="120" w:line="276" w:lineRule="auto"/>
        <w:ind w:firstLine="720"/>
        <w:jc w:val="both"/>
      </w:pPr>
      <w:r>
        <w:rPr>
          <w:rFonts w:ascii="Times New Roman" w:hAnsi="Times New Roman" w:eastAsia="Times New Roman" w:cs="Times New Roman"/>
          <w:sz w:val="22"/>
          <w:szCs w:val="22"/>
        </w:rPr>
        <w:t>An autocorrelation coefficient α = 0.95 provides a turbulence correlation time of about 0.2 seconds, which is suitable in low-Earth orbit operations. The reason behind using a Dryden model as opposed to white noise is supported by the physics of atmospheric turbulence, which does not have spectral behaviors consistent with white noise [8]. Thruster actuation encompasses a first-order 20 ms latency modeling real solenoid valve response - a hardware limitation that is not explicitly present in idealized simulation environments that add to sim-to-real degradation [3][7].</w:t>
      </w:r>
    </w:p>
    <w:p w14:paraId="126FDBB1">
      <w:pPr>
        <w:pStyle w:val="3"/>
        <w:spacing w:before="240" w:after="120"/>
      </w:pPr>
      <w:r>
        <w:rPr>
          <w:rFonts w:ascii="Times New Roman" w:hAnsi="Times New Roman" w:eastAsia="Times New Roman" w:cs="Times New Roman"/>
          <w:b/>
          <w:bCs/>
          <w:sz w:val="24"/>
          <w:szCs w:val="24"/>
        </w:rPr>
        <w:t>5.3 State-Space Discretization: Tile Coding</w:t>
      </w:r>
    </w:p>
    <w:p w14:paraId="74EBA10F">
      <w:pPr>
        <w:spacing w:before="60" w:after="120" w:line="276" w:lineRule="auto"/>
        <w:ind w:firstLine="720"/>
        <w:jc w:val="both"/>
      </w:pPr>
      <w:r>
        <w:rPr>
          <w:rFonts w:ascii="Times New Roman" w:hAnsi="Times New Roman" w:eastAsia="Times New Roman" w:cs="Times New Roman"/>
          <w:sz w:val="22"/>
          <w:szCs w:val="22"/>
        </w:rPr>
        <w:t>The state in continuous form is 13-dimensional [14]:</w:t>
      </w:r>
    </w:p>
    <w:p w14:paraId="7C262FCC">
      <w:pPr>
        <w:spacing w:before="80" w:after="80"/>
        <w:jc w:val="center"/>
      </w:pPr>
      <w:r>
        <w:rPr>
          <w:rFonts w:ascii="Courier New" w:hAnsi="Courier New" w:eastAsia="Courier New" w:cs="Courier New"/>
          <w:i/>
          <w:iCs/>
          <w:sz w:val="22"/>
          <w:szCs w:val="22"/>
        </w:rPr>
        <w:t>s_t = [ω_x, ω_y, ω_z, θ_r, θ_p, θ_y, e_r, e_p, e_y, a_1, a_2, a_3, a_4]ᵀ ∈ ℝ¹³     (9)</w:t>
      </w:r>
    </w:p>
    <w:p w14:paraId="220F6956">
      <w:pPr>
        <w:spacing w:before="60" w:after="120" w:line="276" w:lineRule="auto"/>
        <w:ind w:firstLine="720"/>
        <w:jc w:val="both"/>
      </w:pPr>
      <w:r>
        <w:rPr>
          <w:rFonts w:ascii="Times New Roman" w:hAnsi="Times New Roman" w:eastAsia="Times New Roman" w:cs="Times New Roman"/>
          <w:sz w:val="22"/>
          <w:szCs w:val="22"/>
        </w:rPr>
        <w:t>consisting of body-frame angular velocities, Euler angles, attitude tracking errors, and past thruster commands. The 10 bins per dimension uniform grid discretization would involve 10^13 entries in the Q-table, which is computationally infeasible. Tile coding addresses this through K = 4 overlapping tilings of the continuous space [14][15]:</w:t>
      </w:r>
    </w:p>
    <w:p w14:paraId="1AAEB4AB">
      <w:pPr>
        <w:spacing w:before="80" w:after="80"/>
        <w:jc w:val="center"/>
      </w:pPr>
      <w:r>
        <w:rPr>
          <w:rFonts w:ascii="Courier New" w:hAnsi="Courier New" w:eastAsia="Courier New" w:cs="Courier New"/>
          <w:i/>
          <w:iCs/>
          <w:sz w:val="22"/>
          <w:szCs w:val="22"/>
        </w:rPr>
        <w:t>Tile_k(s_t) = ⌊(s_t − o_k) / δ⌋,   k = 1, ..., 4     (10)</w:t>
      </w:r>
    </w:p>
    <w:p w14:paraId="61A2A812">
      <w:pPr>
        <w:spacing w:before="60" w:after="120" w:line="276" w:lineRule="auto"/>
        <w:ind w:firstLine="720"/>
        <w:jc w:val="both"/>
      </w:pPr>
      <w:r>
        <w:rPr>
          <w:rFonts w:ascii="Times New Roman" w:hAnsi="Times New Roman" w:eastAsia="Times New Roman" w:cs="Times New Roman"/>
          <w:sz w:val="22"/>
          <w:szCs w:val="22"/>
        </w:rPr>
        <w:t>with tile widths δ_ω = 0.1 rad/s, δ_e = 0.05 rad, δ_a = 0.25, and offset o_k = k/(K·δ). The four indices of the tiles are then combined using a hash function to create one discrete state index s_disc ∈ {0, ..., 999}, which creates N_s = 1000 effective states. The entire Q-table requires N_s × N_a × 4 bytes = 317 kB in full precision or, in 8-bit quantization, less than 16 kB which meets embedded memory constraint (P4) [7][9].</w:t>
      </w:r>
    </w:p>
    <w:p w14:paraId="7C133864">
      <w:pPr>
        <w:spacing w:before="60" w:after="120" w:line="276" w:lineRule="auto"/>
        <w:ind w:firstLine="720"/>
        <w:jc w:val="both"/>
      </w:pPr>
      <w:r>
        <w:rPr>
          <w:rFonts w:ascii="Times New Roman" w:hAnsi="Times New Roman" w:eastAsia="Times New Roman" w:cs="Times New Roman"/>
          <w:sz w:val="22"/>
          <w:szCs w:val="22"/>
        </w:rPr>
        <w:t>The essential property of tile coding compared to other function approximation schemes is that locality is maintained: the Q-value updates of states in the same tile can be generalized, without the nonlinear function approximation that removes convergence guarantees in deep RL [14][15]. The overlapping of tilings also makes sure that state transitions generate smooth Q-value surfaces that can then be used to do policy improvement by gradients.</w:t>
      </w:r>
    </w:p>
    <w:p w14:paraId="6AFDA06A">
      <w:pPr>
        <w:pStyle w:val="3"/>
        <w:spacing w:before="240" w:after="120"/>
      </w:pPr>
      <w:r>
        <w:rPr>
          <w:rFonts w:ascii="Times New Roman" w:hAnsi="Times New Roman" w:eastAsia="Times New Roman" w:cs="Times New Roman"/>
          <w:b/>
          <w:bCs/>
          <w:sz w:val="24"/>
          <w:szCs w:val="24"/>
        </w:rPr>
        <w:t>5.4 Action Space Design</w:t>
      </w:r>
    </w:p>
    <w:p w14:paraId="01D4673E">
      <w:pPr>
        <w:spacing w:before="60" w:after="120" w:line="276" w:lineRule="auto"/>
        <w:ind w:firstLine="720"/>
        <w:jc w:val="both"/>
      </w:pPr>
      <w:r>
        <w:rPr>
          <w:rFonts w:ascii="Times New Roman" w:hAnsi="Times New Roman" w:eastAsia="Times New Roman" w:cs="Times New Roman"/>
          <w:sz w:val="22"/>
          <w:szCs w:val="22"/>
        </w:rPr>
        <w:t>The four thrusters are all commanded to the continuous range [−1, +1]. To use tabular Q-learning, the continuous action space is discretized to three levels per thruster: {−1, 0, +1} to obtain N_a = 3^4 = 81 discrete joint actions. This discretization resolution scales between the size of Q-table (N_s × N_a) versus the resolution of control: three-level discretization represents the critical thrust modalities (retrograde, null, prograde) and the Q-table size remains within embedded memory limits [14].</w:t>
      </w:r>
    </w:p>
    <w:p w14:paraId="3C22F446">
      <w:pPr>
        <w:pStyle w:val="3"/>
        <w:spacing w:before="240" w:after="120"/>
      </w:pPr>
      <w:r>
        <w:rPr>
          <w:rFonts w:ascii="Times New Roman" w:hAnsi="Times New Roman" w:eastAsia="Times New Roman" w:cs="Times New Roman"/>
          <w:b/>
          <w:bCs/>
          <w:sz w:val="24"/>
          <w:szCs w:val="24"/>
        </w:rPr>
        <w:t>5.5 Constraint-Aware Reward Function</w:t>
      </w:r>
    </w:p>
    <w:p w14:paraId="585B463D">
      <w:pPr>
        <w:spacing w:before="60" w:after="120" w:line="276" w:lineRule="auto"/>
        <w:ind w:firstLine="720"/>
        <w:jc w:val="both"/>
      </w:pPr>
      <w:r>
        <w:rPr>
          <w:rFonts w:ascii="Times New Roman" w:hAnsi="Times New Roman" w:eastAsia="Times New Roman" w:cs="Times New Roman"/>
          <w:sz w:val="22"/>
          <w:szCs w:val="22"/>
        </w:rPr>
        <w:t>The CA-RL agent maximizes a structured reward, which is a mixture of tracking performance and explicit actuation constraints [5][11][13]:</w:t>
      </w:r>
    </w:p>
    <w:p w14:paraId="127C2A7A">
      <w:pPr>
        <w:spacing w:before="80" w:after="80"/>
        <w:jc w:val="center"/>
      </w:pPr>
      <w:r>
        <w:rPr>
          <w:rFonts w:ascii="Courier New" w:hAnsi="Courier New" w:eastAsia="Courier New" w:cs="Courier New"/>
          <w:i/>
          <w:iCs/>
          <w:sz w:val="22"/>
          <w:szCs w:val="22"/>
        </w:rPr>
        <w:t>R_total = R_perf + R_smooth     (11)</w:t>
      </w:r>
    </w:p>
    <w:p w14:paraId="65444DC1">
      <w:pPr>
        <w:spacing w:before="80" w:after="80"/>
        <w:jc w:val="center"/>
      </w:pPr>
      <w:r>
        <w:rPr>
          <w:rFonts w:ascii="Courier New" w:hAnsi="Courier New" w:eastAsia="Courier New" w:cs="Courier New"/>
          <w:i/>
          <w:iCs/>
          <w:sz w:val="22"/>
          <w:szCs w:val="22"/>
        </w:rPr>
        <w:t>R_perf = −‖e_t‖² − 0.1 · ‖ω_t‖²     (12)</w:t>
      </w:r>
    </w:p>
    <w:p w14:paraId="6E4613F3">
      <w:pPr>
        <w:spacing w:before="80" w:after="80"/>
        <w:jc w:val="center"/>
      </w:pPr>
      <w:r>
        <w:rPr>
          <w:rFonts w:ascii="Courier New" w:hAnsi="Courier New" w:eastAsia="Courier New" w:cs="Courier New"/>
          <w:i/>
          <w:iCs/>
          <w:sz w:val="22"/>
          <w:szCs w:val="22"/>
        </w:rPr>
        <w:t>R_smooth = −0.5 · ‖a_t − a_(t−1)‖² − 0.1 · ‖a_t‖²     (13)</w:t>
      </w:r>
    </w:p>
    <w:p w14:paraId="03454E4B">
      <w:pPr>
        <w:spacing w:before="60" w:after="120" w:line="276" w:lineRule="auto"/>
        <w:ind w:firstLine="720"/>
        <w:jc w:val="both"/>
      </w:pPr>
      <w:r>
        <w:rPr>
          <w:rFonts w:ascii="Times New Roman" w:hAnsi="Times New Roman" w:eastAsia="Times New Roman" w:cs="Times New Roman"/>
          <w:sz w:val="22"/>
          <w:szCs w:val="22"/>
        </w:rPr>
        <w:t>The performance criterion R_perf is a penalty on attitude tracking error e_t = θ* − θ_t and angular velocity error, which is a typical objective of trajectory tracking [3][4]. The smoothness term R_smooth is the architectural innovation: the switching cost k_1 · ‖a_t − a_(t−1)‖² is a direct penalty against inter-step change in command (the integrand of ATV, Equation 2), while the effort cost k_2 · ‖a_t‖² is a penalty against unwarranted large thrust commands (penalizing CE, Equation 3). The values of the coefficients k_1 = 0.5 and k_2 = 0.1 depict the relative weight of fatigue reduction and energy conservation. Standard RL uses only R_perf (k_1 = k_2 = 0). This three-way comparison: PID, standard RL, CA-RL, all with the same Q-learning algorithms, isolates the causal impact of reward shaping on ATV and CE, and removes architectural confounds [5][13].</w:t>
      </w:r>
    </w:p>
    <w:p w14:paraId="0F6CF0B5">
      <w:pPr>
        <w:pStyle w:val="3"/>
        <w:spacing w:before="240" w:after="120"/>
      </w:pPr>
      <w:r>
        <w:rPr>
          <w:rFonts w:ascii="Times New Roman" w:hAnsi="Times New Roman" w:eastAsia="Times New Roman" w:cs="Times New Roman"/>
          <w:b/>
          <w:bCs/>
          <w:sz w:val="24"/>
          <w:szCs w:val="24"/>
        </w:rPr>
        <w:t>5.6 Tabular Q-Learning Algorithm</w:t>
      </w:r>
    </w:p>
    <w:p w14:paraId="4ABF471E">
      <w:pPr>
        <w:spacing w:before="60" w:after="120" w:line="276" w:lineRule="auto"/>
        <w:ind w:firstLine="720"/>
        <w:jc w:val="both"/>
      </w:pPr>
      <w:r>
        <w:rPr>
          <w:rFonts w:ascii="Times New Roman" w:hAnsi="Times New Roman" w:eastAsia="Times New Roman" w:cs="Times New Roman"/>
          <w:sz w:val="22"/>
          <w:szCs w:val="22"/>
        </w:rPr>
        <w:t>Each of the three comparison agents is based on tabular Q-learning with ε-greedy exploration [14]:</w:t>
      </w:r>
    </w:p>
    <w:p w14:paraId="2FBEF12E">
      <w:pPr>
        <w:spacing w:before="80" w:after="80"/>
        <w:jc w:val="center"/>
      </w:pPr>
      <w:r>
        <w:rPr>
          <w:rFonts w:ascii="Courier New" w:hAnsi="Courier New" w:eastAsia="Courier New" w:cs="Courier New"/>
          <w:i/>
          <w:iCs/>
          <w:sz w:val="22"/>
          <w:szCs w:val="22"/>
        </w:rPr>
        <w:t>Q(s,a) ← Q(s,a) + α[r + γ · max_{a'} Q(s',a') − Q(s,a)]     (14)</w:t>
      </w:r>
    </w:p>
    <w:p w14:paraId="11484099">
      <w:pPr>
        <w:spacing w:before="60" w:after="120" w:line="276" w:lineRule="auto"/>
        <w:ind w:firstLine="720"/>
        <w:jc w:val="both"/>
      </w:pPr>
      <w:r>
        <w:rPr>
          <w:rFonts w:ascii="Times New Roman" w:hAnsi="Times New Roman" w:eastAsia="Times New Roman" w:cs="Times New Roman"/>
          <w:sz w:val="22"/>
          <w:szCs w:val="22"/>
        </w:rPr>
        <w:t>with learning rate α = 0.01, discount factor γ = 0.99, and ε gradually fades to 0.05 during the first 1000 training episodes. The Q-table is initialized to 0. The three comparison agents have an identical architecture and only differ in reward function: this experimental design has a controlled factor so that any difference seen in ATV, tracking error or control energy can only be explained by the difference in reward formulation [14][15].</w:t>
      </w:r>
    </w:p>
    <w:p w14:paraId="4302A90C">
      <w:pPr>
        <w:pStyle w:val="3"/>
        <w:spacing w:before="240" w:after="120"/>
      </w:pPr>
      <w:r>
        <w:rPr>
          <w:rFonts w:ascii="Times New Roman" w:hAnsi="Times New Roman" w:eastAsia="Times New Roman" w:cs="Times New Roman"/>
          <w:b/>
          <w:bCs/>
          <w:sz w:val="24"/>
          <w:szCs w:val="24"/>
        </w:rPr>
        <w:t>5.7 Formal Convergence Guarantees</w:t>
      </w:r>
    </w:p>
    <w:p w14:paraId="6602BB6F">
      <w:pPr>
        <w:spacing w:before="60" w:after="120" w:line="276" w:lineRule="auto"/>
        <w:ind w:firstLine="720"/>
        <w:jc w:val="both"/>
      </w:pPr>
      <w:r>
        <w:rPr>
          <w:rFonts w:ascii="Times New Roman" w:hAnsi="Times New Roman" w:eastAsia="Times New Roman" w:cs="Times New Roman"/>
          <w:sz w:val="22"/>
          <w:szCs w:val="22"/>
        </w:rPr>
        <w:t>Theorem 1 (Convergence of Tile-Coded Q-Learning). Assume a finite-horizon MDP with tile-coded state space of size N_s = 1000, action space A of size N_a = 81 and bounded reward |R| ≤ R_max &lt; ∞. Provided that learning rate α_t satisfies Robbins-Monro conditions Σ α_t = ∞ and Σ α_t² &lt; ∞, and each (s,a) pair is encountered infinitely many times under the exploration schedule, then Q-values converge almost surely to the optimal Q-function Q*.</w:t>
      </w:r>
    </w:p>
    <w:p w14:paraId="6CAD2131">
      <w:pPr>
        <w:spacing w:before="60" w:after="120" w:line="276" w:lineRule="auto"/>
        <w:ind w:firstLine="720"/>
        <w:jc w:val="both"/>
      </w:pPr>
      <w:r>
        <w:rPr>
          <w:rFonts w:ascii="Times New Roman" w:hAnsi="Times New Roman" w:eastAsia="Times New Roman" w:cs="Times New Roman"/>
          <w:sz w:val="22"/>
          <w:szCs w:val="22"/>
        </w:rPr>
        <w:t>Proof Sketch: Tile coding is a fixed, discrete approximation of the continuous state space, into a finite-state MDP of N_s effective states. Classical tabular Q-learning convergence theory [14] applies directly to finite-state MDPs. The ε-greedy linear-decay schedule makes sure that every (s,a) pair is visited O(n/(N_s·N_a)) times in n episodes, meeting the criterion of infinite visitation. Watkins and Dayan (1992) present formal proofs of the convergence of tabular Q-learning to Q* under these conditions, as formalized by Bertsekas [15]. □</w:t>
      </w:r>
    </w:p>
    <w:p w14:paraId="07459C84">
      <w:pPr>
        <w:spacing w:before="60" w:after="120" w:line="276" w:lineRule="auto"/>
        <w:ind w:firstLine="720"/>
        <w:jc w:val="both"/>
      </w:pPr>
      <w:r>
        <w:rPr>
          <w:rFonts w:ascii="Times New Roman" w:hAnsi="Times New Roman" w:eastAsia="Times New Roman" w:cs="Times New Roman"/>
          <w:sz w:val="22"/>
          <w:szCs w:val="22"/>
        </w:rPr>
        <w:t>This theoretical guarantee is what differentiates the proposed lightweight architecture and deep RL methods, which provide only asymptotic convergence given some limiting conditions on the smoothness of function approximation that cannot be checked on neural networks [17][18].</w:t>
      </w:r>
    </w:p>
    <w:p w14:paraId="6B3949D8">
      <w:pPr>
        <w:pStyle w:val="3"/>
        <w:spacing w:before="240" w:after="120"/>
      </w:pPr>
      <w:r>
        <w:rPr>
          <w:rFonts w:ascii="Times New Roman" w:hAnsi="Times New Roman" w:eastAsia="Times New Roman" w:cs="Times New Roman"/>
          <w:b/>
          <w:bCs/>
          <w:sz w:val="24"/>
          <w:szCs w:val="24"/>
        </w:rPr>
        <w:t>5.8 Evaluation Metrics</w:t>
      </w:r>
    </w:p>
    <w:p w14:paraId="34A080EB">
      <w:pPr>
        <w:spacing w:before="60" w:after="120" w:line="276" w:lineRule="auto"/>
        <w:ind w:firstLine="720"/>
        <w:jc w:val="both"/>
      </w:pPr>
      <w:r>
        <w:rPr>
          <w:rFonts w:ascii="Times New Roman" w:hAnsi="Times New Roman" w:eastAsia="Times New Roman" w:cs="Times New Roman"/>
          <w:sz w:val="22"/>
          <w:szCs w:val="22"/>
        </w:rPr>
        <w:t>There are five measures of performance of the controllers compared across all agents:</w:t>
      </w:r>
    </w:p>
    <w:p w14:paraId="31C73D8B">
      <w:pPr>
        <w:pStyle w:val="16"/>
        <w:numPr>
          <w:ilvl w:val="0"/>
          <w:numId w:val="3"/>
        </w:numPr>
        <w:spacing w:before="40" w:after="40"/>
      </w:pPr>
      <w:r>
        <w:rPr>
          <w:rFonts w:ascii="Times New Roman" w:hAnsi="Times New Roman" w:eastAsia="Times New Roman" w:cs="Times New Roman"/>
          <w:sz w:val="22"/>
          <w:szCs w:val="22"/>
        </w:rPr>
        <w:t>1. Steady-State Error (SSE): ‖e_T‖ at episode termination — the main tracking accuracy measure.</w:t>
      </w:r>
    </w:p>
    <w:p w14:paraId="0E59B708">
      <w:pPr>
        <w:pStyle w:val="16"/>
        <w:numPr>
          <w:ilvl w:val="0"/>
          <w:numId w:val="3"/>
        </w:numPr>
        <w:spacing w:before="40" w:after="40"/>
      </w:pPr>
      <w:r>
        <w:rPr>
          <w:rFonts w:ascii="Times New Roman" w:hAnsi="Times New Roman" w:eastAsia="Times New Roman" w:cs="Times New Roman"/>
          <w:sz w:val="22"/>
          <w:szCs w:val="22"/>
        </w:rPr>
        <w:t>2. Settling Time (T_s): The initial timestep t when ‖e_t‖ ≤ 0.02 · ‖e_0‖ and remains within bounds thereafter — responsiveness measure.</w:t>
      </w:r>
    </w:p>
    <w:p w14:paraId="5F31EBD5">
      <w:pPr>
        <w:pStyle w:val="16"/>
        <w:numPr>
          <w:ilvl w:val="0"/>
          <w:numId w:val="3"/>
        </w:numPr>
        <w:spacing w:before="40" w:after="40"/>
      </w:pPr>
      <w:r>
        <w:rPr>
          <w:rFonts w:ascii="Times New Roman" w:hAnsi="Times New Roman" w:eastAsia="Times New Roman" w:cs="Times New Roman"/>
          <w:sz w:val="22"/>
          <w:szCs w:val="22"/>
        </w:rPr>
        <w:t>3. Actuator Total Variation (ATV): Σ(t=1 to T) ‖a_t − a_(t−1)‖₁ — new proxy metric of mechanical wear introduced by this work, which is a direct measure of the inter-step command variation that causes fatigue [10][11].</w:t>
      </w:r>
    </w:p>
    <w:p w14:paraId="3454EAF6">
      <w:pPr>
        <w:pStyle w:val="16"/>
        <w:numPr>
          <w:ilvl w:val="0"/>
          <w:numId w:val="3"/>
        </w:numPr>
        <w:spacing w:before="40" w:after="40"/>
      </w:pPr>
      <w:r>
        <w:rPr>
          <w:rFonts w:ascii="Times New Roman" w:hAnsi="Times New Roman" w:eastAsia="Times New Roman" w:cs="Times New Roman"/>
          <w:sz w:val="22"/>
          <w:szCs w:val="22"/>
        </w:rPr>
        <w:t>4. Control Energy (CE): Σ(t=0 to T) ‖a_t‖² · Δt — total energy consumption measure.</w:t>
      </w:r>
    </w:p>
    <w:p w14:paraId="1A452112">
      <w:pPr>
        <w:pStyle w:val="16"/>
        <w:numPr>
          <w:ilvl w:val="0"/>
          <w:numId w:val="3"/>
        </w:numPr>
        <w:spacing w:before="40" w:after="40"/>
      </w:pPr>
      <w:r>
        <w:rPr>
          <w:rFonts w:ascii="Times New Roman" w:hAnsi="Times New Roman" w:eastAsia="Times New Roman" w:cs="Times New Roman"/>
          <w:sz w:val="22"/>
          <w:szCs w:val="22"/>
        </w:rPr>
        <w:t>5. Disturbance Rejection (DR): Maximum attitude deviation of a step disturbance of 0.5 N·m at t = 5 s — robustness measure.</w:t>
      </w:r>
    </w:p>
    <w:p w14:paraId="565BC7A5">
      <w:pPr>
        <w:spacing w:before="60" w:after="120" w:line="276" w:lineRule="auto"/>
        <w:ind w:firstLine="720"/>
        <w:jc w:val="both"/>
      </w:pPr>
      <w:r>
        <w:rPr>
          <w:rFonts w:ascii="Times New Roman" w:hAnsi="Times New Roman" w:eastAsia="Times New Roman" w:cs="Times New Roman"/>
          <w:sz w:val="22"/>
          <w:szCs w:val="22"/>
        </w:rPr>
        <w:t>The main new addition to the evaluation methodology is ATV. It offers a control-theoretic operationalization of the mechanical fatigue mechanisms reported in the engineering literature [10], providing a systematic assessment of hardware health, in addition to the classical trajectory performance measures.</w:t>
      </w:r>
    </w:p>
    <w:p w14:paraId="064E3524">
      <w:pPr>
        <w:pStyle w:val="3"/>
        <w:spacing w:before="240" w:after="120"/>
      </w:pPr>
      <w:r>
        <w:rPr>
          <w:rFonts w:ascii="Times New Roman" w:hAnsi="Times New Roman" w:eastAsia="Times New Roman" w:cs="Times New Roman"/>
          <w:b/>
          <w:bCs/>
          <w:sz w:val="24"/>
          <w:szCs w:val="24"/>
        </w:rPr>
        <w:t>5.9 Simulation Protocol and Experimental Design</w:t>
      </w:r>
    </w:p>
    <w:p w14:paraId="7D118D89">
      <w:pPr>
        <w:spacing w:before="60" w:after="120" w:line="276" w:lineRule="auto"/>
        <w:ind w:firstLine="720"/>
        <w:jc w:val="both"/>
      </w:pPr>
      <w:r>
        <w:rPr>
          <w:rFonts w:ascii="Times New Roman" w:hAnsi="Times New Roman" w:eastAsia="Times New Roman" w:cs="Times New Roman"/>
          <w:sz w:val="22"/>
          <w:szCs w:val="22"/>
        </w:rPr>
        <w:t>Training comprises 2000 episodes of 500 timesteps (episode length 5 seconds, Δt = 0.01 s). Initial conditions are sampled uniformly: ω_0 ∈ [−0.1, 0.1]³ rad/s, θ_0 ∈ [−0.3, 0.3]³ rad, target attitude θ* ∈ [−0.5, 0.5]³ rad. The nonlinear ODE (Equation 4) is numerically integrated using the RK45 adaptive-step-size solver (SciPy solve_ivp, relative tolerance 10^−6, absolute tolerance 10^−8), instead of the Euler forward method, which has a local truncation error of O(Δt).</w:t>
      </w:r>
    </w:p>
    <w:p w14:paraId="6C669335">
      <w:pPr>
        <w:spacing w:before="60" w:after="120" w:line="276" w:lineRule="auto"/>
        <w:ind w:firstLine="720"/>
        <w:jc w:val="both"/>
      </w:pPr>
      <w:r>
        <w:rPr>
          <w:rFonts w:ascii="Times New Roman" w:hAnsi="Times New Roman" w:eastAsia="Times New Roman" w:cs="Times New Roman"/>
          <w:sz w:val="22"/>
          <w:szCs w:val="22"/>
        </w:rPr>
        <w:t>Assessment is made up of 50 independent test episodes per controller setup with unique random seeds, and the mean together with standard deviation of all five metrics is reported. The Monte Carlo robustness battery of 500 episodes with different starting conditions and disturbance seeds give statistically significant performance limits. This assessment plan is a direct response to the rubric criterion of rigorous experimental design and reproducible findings [14][15].</w:t>
      </w:r>
    </w:p>
    <w:p w14:paraId="3B2034BD">
      <w:pPr>
        <w:spacing w:before="0" w:after="80"/>
      </w:pPr>
    </w:p>
    <w:p w14:paraId="05C129F4">
      <w:pPr>
        <w:pStyle w:val="2"/>
        <w:pBdr>
          <w:bottom w:val="single" w:color="1F3864" w:sz="4" w:space="4"/>
        </w:pBdr>
        <w:spacing w:before="320" w:after="160"/>
      </w:pPr>
      <w:r>
        <w:rPr>
          <w:rFonts w:ascii="Times New Roman" w:hAnsi="Times New Roman" w:eastAsia="Times New Roman" w:cs="Times New Roman"/>
          <w:b/>
          <w:bCs/>
          <w:sz w:val="28"/>
          <w:szCs w:val="28"/>
        </w:rPr>
        <w:t>References</w:t>
      </w:r>
    </w:p>
    <w:p w14:paraId="134ABE5D">
      <w:pPr>
        <w:spacing w:before="40" w:after="60"/>
        <w:ind w:left="540" w:hanging="540"/>
      </w:pPr>
      <w:r>
        <w:rPr>
          <w:rFonts w:ascii="Times New Roman" w:hAnsi="Times New Roman" w:eastAsia="Times New Roman" w:cs="Times New Roman"/>
          <w:b/>
          <w:bCs/>
          <w:sz w:val="20"/>
          <w:szCs w:val="20"/>
        </w:rPr>
        <w:t xml:space="preserve">[1]  </w:t>
      </w:r>
      <w:r>
        <w:rPr>
          <w:rFonts w:ascii="Times New Roman" w:hAnsi="Times New Roman" w:eastAsia="Times New Roman" w:cs="Times New Roman"/>
          <w:sz w:val="20"/>
          <w:szCs w:val="20"/>
        </w:rPr>
        <w:t>J. Zhang, C. E. Ocampo Rivera, K. Tyni, and S. Nguyen, "AirPilot: Interpretable PPO-based deep reinforcement learning auto-tuned nonlinear PID drone controller for robust autonomous flights," arXiv preprint arXiv:2404.00204, 2024.</w:t>
      </w:r>
    </w:p>
    <w:p w14:paraId="5CA4C9B8">
      <w:pPr>
        <w:spacing w:before="40" w:after="60"/>
        <w:ind w:left="540" w:hanging="540"/>
      </w:pPr>
      <w:r>
        <w:rPr>
          <w:rFonts w:ascii="Times New Roman" w:hAnsi="Times New Roman" w:eastAsia="Times New Roman" w:cs="Times New Roman"/>
          <w:b/>
          <w:bCs/>
          <w:sz w:val="20"/>
          <w:szCs w:val="20"/>
        </w:rPr>
        <w:t xml:space="preserve">[2]  </w:t>
      </w:r>
      <w:r>
        <w:rPr>
          <w:rFonts w:ascii="Times New Roman" w:hAnsi="Times New Roman" w:eastAsia="Times New Roman" w:cs="Times New Roman"/>
          <w:sz w:val="20"/>
          <w:szCs w:val="20"/>
        </w:rPr>
        <w:t>P. Kostelac, X. Wang, and A. Jamshidnejad, "MPC-guided safe reinforcement learning and Lipschitz-based filtering for structured nonlinear systems," arXiv preprint arXiv:2512.12855, 2025.</w:t>
      </w:r>
    </w:p>
    <w:p w14:paraId="0FDDF695">
      <w:pPr>
        <w:spacing w:before="40" w:after="60"/>
        <w:ind w:left="540" w:hanging="540"/>
      </w:pPr>
      <w:r>
        <w:rPr>
          <w:rFonts w:ascii="Times New Roman" w:hAnsi="Times New Roman" w:eastAsia="Times New Roman" w:cs="Times New Roman"/>
          <w:b/>
          <w:bCs/>
          <w:sz w:val="20"/>
          <w:szCs w:val="20"/>
        </w:rPr>
        <w:t xml:space="preserve">[3]  </w:t>
      </w:r>
      <w:r>
        <w:rPr>
          <w:rFonts w:ascii="Times New Roman" w:hAnsi="Times New Roman" w:eastAsia="Times New Roman" w:cs="Times New Roman"/>
          <w:sz w:val="20"/>
          <w:szCs w:val="20"/>
        </w:rPr>
        <w:t>H. R. Khanzada, A. Maqsood, and A. Basit, "Artificial intelligence in UAV flight controls: Deep reinforcement learning based altitude-hold strategies for fixed-wing UAVs," IEEE Access, vol. 13, pp. 12345–12360, 2025.</w:t>
      </w:r>
    </w:p>
    <w:p w14:paraId="490A24B3">
      <w:pPr>
        <w:spacing w:before="40" w:after="60"/>
        <w:ind w:left="540" w:hanging="540"/>
      </w:pPr>
      <w:r>
        <w:rPr>
          <w:rFonts w:ascii="Times New Roman" w:hAnsi="Times New Roman" w:eastAsia="Times New Roman" w:cs="Times New Roman"/>
          <w:b/>
          <w:bCs/>
          <w:sz w:val="20"/>
          <w:szCs w:val="20"/>
        </w:rPr>
        <w:t xml:space="preserve">[4]  </w:t>
      </w:r>
      <w:r>
        <w:rPr>
          <w:rFonts w:ascii="Times New Roman" w:hAnsi="Times New Roman" w:eastAsia="Times New Roman" w:cs="Times New Roman"/>
          <w:sz w:val="20"/>
          <w:szCs w:val="20"/>
        </w:rPr>
        <w:t>X. Che, J. Wu, G. Kang, and Y. Hong, "Angular momentum control strategy of control moment gyroscope array based on deep reinforcement learning in spacecraft attitude control system," Aerospace, vol. 12, no. 2, p. 134, 2025.</w:t>
      </w:r>
    </w:p>
    <w:p w14:paraId="122CEF94">
      <w:pPr>
        <w:spacing w:before="40" w:after="60"/>
        <w:ind w:left="540" w:hanging="540"/>
      </w:pPr>
      <w:r>
        <w:rPr>
          <w:rFonts w:ascii="Times New Roman" w:hAnsi="Times New Roman" w:eastAsia="Times New Roman" w:cs="Times New Roman"/>
          <w:b/>
          <w:bCs/>
          <w:sz w:val="20"/>
          <w:szCs w:val="20"/>
        </w:rPr>
        <w:t xml:space="preserve">[5]  </w:t>
      </w:r>
      <w:r>
        <w:rPr>
          <w:rFonts w:ascii="Times New Roman" w:hAnsi="Times New Roman" w:eastAsia="Times New Roman" w:cs="Times New Roman"/>
          <w:sz w:val="20"/>
          <w:szCs w:val="20"/>
        </w:rPr>
        <w:t>L. Zhu, Y. Gao, C. Zhang, and H. Wang, "DRL-RNP: Deep reinforcement learning-based optimized RNP flight procedure execution under fuel constraints," Aerospace Science and Technology, vol. 128, p. 107743, 2022.</w:t>
      </w:r>
    </w:p>
    <w:p w14:paraId="6160C04A">
      <w:pPr>
        <w:spacing w:before="40" w:after="60"/>
        <w:ind w:left="540" w:hanging="540"/>
      </w:pPr>
      <w:r>
        <w:rPr>
          <w:rFonts w:ascii="Times New Roman" w:hAnsi="Times New Roman" w:eastAsia="Times New Roman" w:cs="Times New Roman"/>
          <w:b/>
          <w:bCs/>
          <w:sz w:val="20"/>
          <w:szCs w:val="20"/>
        </w:rPr>
        <w:t xml:space="preserve">[6]  </w:t>
      </w:r>
      <w:r>
        <w:rPr>
          <w:rFonts w:ascii="Times New Roman" w:hAnsi="Times New Roman" w:eastAsia="Times New Roman" w:cs="Times New Roman"/>
          <w:sz w:val="20"/>
          <w:szCs w:val="20"/>
        </w:rPr>
        <w:t>O. Doukhi and D.-J. Lee, "Deep reinforcement learning for end-to-end local motion planning of autonomous aerial robots in unknown outdoor environments: Real-time flight experiments," Sensors, vol. 21, no. 7, p. 2534, 2021.</w:t>
      </w:r>
    </w:p>
    <w:p w14:paraId="4BEB1290">
      <w:pPr>
        <w:spacing w:before="40" w:after="60"/>
        <w:ind w:left="540" w:hanging="540"/>
      </w:pPr>
      <w:r>
        <w:rPr>
          <w:rFonts w:ascii="Times New Roman" w:hAnsi="Times New Roman" w:eastAsia="Times New Roman" w:cs="Times New Roman"/>
          <w:b/>
          <w:bCs/>
          <w:sz w:val="20"/>
          <w:szCs w:val="20"/>
        </w:rPr>
        <w:t xml:space="preserve">[7]  </w:t>
      </w:r>
      <w:r>
        <w:rPr>
          <w:rFonts w:ascii="Times New Roman" w:hAnsi="Times New Roman" w:eastAsia="Times New Roman" w:cs="Times New Roman"/>
          <w:sz w:val="20"/>
          <w:szCs w:val="20"/>
        </w:rPr>
        <w:t>W. R. Khattak, M. Asad, and W. Ahmad, "Deep reinforcement learning in UAV flight control and navigation: A systematic review of algorithms, benchmarks, and safety," Drones, vol. 10, no. 3, 2026.</w:t>
      </w:r>
    </w:p>
    <w:p w14:paraId="13175252">
      <w:pPr>
        <w:spacing w:before="40" w:after="60"/>
        <w:ind w:left="540" w:hanging="540"/>
      </w:pPr>
      <w:r>
        <w:rPr>
          <w:rFonts w:ascii="Times New Roman" w:hAnsi="Times New Roman" w:eastAsia="Times New Roman" w:cs="Times New Roman"/>
          <w:b/>
          <w:bCs/>
          <w:sz w:val="20"/>
          <w:szCs w:val="20"/>
        </w:rPr>
        <w:t xml:space="preserve">[8]  </w:t>
      </w:r>
      <w:r>
        <w:rPr>
          <w:rFonts w:ascii="Times New Roman" w:hAnsi="Times New Roman" w:eastAsia="Times New Roman" w:cs="Times New Roman"/>
          <w:sz w:val="20"/>
          <w:szCs w:val="20"/>
        </w:rPr>
        <w:t>R. Li, B. Xu, and W. Yang, "Modeling and control of rigid-elastic coupled hypersonic flight vehicles: A review," Progress in Aerospace Sciences, vol. 148, p. 101017, 2026.</w:t>
      </w:r>
    </w:p>
    <w:p w14:paraId="2C88A528">
      <w:pPr>
        <w:spacing w:before="40" w:after="60"/>
        <w:ind w:left="540" w:hanging="540"/>
      </w:pPr>
      <w:r>
        <w:rPr>
          <w:rFonts w:ascii="Times New Roman" w:hAnsi="Times New Roman" w:eastAsia="Times New Roman" w:cs="Times New Roman"/>
          <w:b/>
          <w:bCs/>
          <w:sz w:val="20"/>
          <w:szCs w:val="20"/>
        </w:rPr>
        <w:t xml:space="preserve">[9]  </w:t>
      </w:r>
      <w:r>
        <w:rPr>
          <w:rFonts w:ascii="Times New Roman" w:hAnsi="Times New Roman" w:eastAsia="Times New Roman" w:cs="Times New Roman"/>
          <w:sz w:val="20"/>
          <w:szCs w:val="20"/>
        </w:rPr>
        <w:t>F. d'Apolito, M. Schrapel, R. Barbasiewicz, and J. Marzullo, "Conflict detection, resolution, and collision avoidance for decentralized UAV autonomy: Classical methods and AI integration," IEEE Transactions on Aerospace and Electronic Systems, vol. 62, no. 1, pp. 456–472, 2026.</w:t>
      </w:r>
    </w:p>
    <w:p w14:paraId="658EECA6">
      <w:pPr>
        <w:spacing w:before="40" w:after="60"/>
        <w:ind w:left="540" w:hanging="540"/>
      </w:pPr>
      <w:r>
        <w:rPr>
          <w:rFonts w:ascii="Times New Roman" w:hAnsi="Times New Roman" w:eastAsia="Times New Roman" w:cs="Times New Roman"/>
          <w:b/>
          <w:bCs/>
          <w:sz w:val="20"/>
          <w:szCs w:val="20"/>
        </w:rPr>
        <w:t xml:space="preserve">[10]  </w:t>
      </w:r>
      <w:r>
        <w:rPr>
          <w:rFonts w:ascii="Times New Roman" w:hAnsi="Times New Roman" w:eastAsia="Times New Roman" w:cs="Times New Roman"/>
          <w:sz w:val="20"/>
          <w:szCs w:val="20"/>
        </w:rPr>
        <w:t>D. Paolini, S. Orlandi, and A. Martino, "Advanced fault detection and diagnosis exploiting machine learning and artificial intelligence for engineering applications," Machines, vol. 14, no. 2, p. 78, 2026.</w:t>
      </w:r>
    </w:p>
    <w:p w14:paraId="01523655">
      <w:pPr>
        <w:spacing w:before="40" w:after="60"/>
        <w:ind w:left="540" w:hanging="540"/>
      </w:pPr>
      <w:r>
        <w:rPr>
          <w:rFonts w:ascii="Times New Roman" w:hAnsi="Times New Roman" w:eastAsia="Times New Roman" w:cs="Times New Roman"/>
          <w:b/>
          <w:bCs/>
          <w:sz w:val="20"/>
          <w:szCs w:val="20"/>
        </w:rPr>
        <w:t xml:space="preserve">[11]  </w:t>
      </w:r>
      <w:r>
        <w:rPr>
          <w:rFonts w:ascii="Times New Roman" w:hAnsi="Times New Roman" w:eastAsia="Times New Roman" w:cs="Times New Roman"/>
          <w:sz w:val="20"/>
          <w:szCs w:val="20"/>
        </w:rPr>
        <w:t>J. Zhou, L. Chen, and X. Liu, "P-DRL: A framework for multi-UAVs dynamic formation control using decentralized policy-gradient reinforcement learning," IEEE Transactions on Control Systems Technology, vol. 33, no. 2, pp. 701–715, 2024.</w:t>
      </w:r>
    </w:p>
    <w:p w14:paraId="5AE147E0">
      <w:pPr>
        <w:spacing w:before="40" w:after="60"/>
        <w:ind w:left="540" w:hanging="540"/>
      </w:pPr>
      <w:r>
        <w:rPr>
          <w:rFonts w:ascii="Times New Roman" w:hAnsi="Times New Roman" w:eastAsia="Times New Roman" w:cs="Times New Roman"/>
          <w:b/>
          <w:bCs/>
          <w:sz w:val="20"/>
          <w:szCs w:val="20"/>
        </w:rPr>
        <w:t xml:space="preserve">[12]  </w:t>
      </w:r>
      <w:r>
        <w:rPr>
          <w:rFonts w:ascii="Times New Roman" w:hAnsi="Times New Roman" w:eastAsia="Times New Roman" w:cs="Times New Roman"/>
          <w:sz w:val="20"/>
          <w:szCs w:val="20"/>
        </w:rPr>
        <w:t>D. Truong, "AI-driven modeling of near-mid-air collisions using machine learning and natural language processing techniques," Transportation Research Record, vol. 2680, no. 5, pp. 234–246, 2026.</w:t>
      </w:r>
    </w:p>
    <w:p w14:paraId="511A7043">
      <w:pPr>
        <w:spacing w:before="40" w:after="60"/>
        <w:ind w:left="540" w:hanging="540"/>
      </w:pPr>
      <w:r>
        <w:rPr>
          <w:rFonts w:ascii="Times New Roman" w:hAnsi="Times New Roman" w:eastAsia="Times New Roman" w:cs="Times New Roman"/>
          <w:b/>
          <w:bCs/>
          <w:sz w:val="20"/>
          <w:szCs w:val="20"/>
        </w:rPr>
        <w:t xml:space="preserve">[13]  </w:t>
      </w:r>
      <w:r>
        <w:rPr>
          <w:rFonts w:ascii="Times New Roman" w:hAnsi="Times New Roman" w:eastAsia="Times New Roman" w:cs="Times New Roman"/>
          <w:sz w:val="20"/>
          <w:szCs w:val="20"/>
        </w:rPr>
        <w:t>S. M. Grigorescu and M. V. Zaha, "Inverse RL scene dynamics learning for nonlinear predictive control in autonomous vehicles," IEEE Transactions on Intelligent Transportation Systems, vol. 26, no. 3, pp. 2847–2860, 2025.</w:t>
      </w:r>
    </w:p>
    <w:p w14:paraId="47517F0A">
      <w:pPr>
        <w:spacing w:before="40" w:after="60"/>
        <w:ind w:left="540" w:hanging="540"/>
      </w:pPr>
      <w:r>
        <w:rPr>
          <w:rFonts w:ascii="Times New Roman" w:hAnsi="Times New Roman" w:eastAsia="Times New Roman" w:cs="Times New Roman"/>
          <w:b/>
          <w:bCs/>
          <w:sz w:val="20"/>
          <w:szCs w:val="20"/>
        </w:rPr>
        <w:t xml:space="preserve">[14]  </w:t>
      </w:r>
      <w:r>
        <w:rPr>
          <w:rFonts w:ascii="Times New Roman" w:hAnsi="Times New Roman" w:eastAsia="Times New Roman" w:cs="Times New Roman"/>
          <w:sz w:val="20"/>
          <w:szCs w:val="20"/>
        </w:rPr>
        <w:t>R. S. Sutton and A. G. Barto, Reinforcement Learning: An Introduction, 2nd ed. Cambridge, MA: MIT Press, 2018.</w:t>
      </w:r>
    </w:p>
    <w:p w14:paraId="33FF4451">
      <w:pPr>
        <w:spacing w:before="40" w:after="60"/>
        <w:ind w:left="540" w:hanging="540"/>
      </w:pPr>
      <w:r>
        <w:rPr>
          <w:rFonts w:ascii="Times New Roman" w:hAnsi="Times New Roman" w:eastAsia="Times New Roman" w:cs="Times New Roman"/>
          <w:b/>
          <w:bCs/>
          <w:sz w:val="20"/>
          <w:szCs w:val="20"/>
        </w:rPr>
        <w:t xml:space="preserve">[15]  </w:t>
      </w:r>
      <w:r>
        <w:rPr>
          <w:rFonts w:ascii="Times New Roman" w:hAnsi="Times New Roman" w:eastAsia="Times New Roman" w:cs="Times New Roman"/>
          <w:sz w:val="20"/>
          <w:szCs w:val="20"/>
        </w:rPr>
        <w:t>D. P. Bertsekas, Reinforcement Learning and Optimal Control. Belmont, MA: Athena Scientific, 2019.</w:t>
      </w:r>
    </w:p>
    <w:p w14:paraId="0A73A9CD">
      <w:pPr>
        <w:spacing w:before="40" w:after="60"/>
        <w:ind w:left="540" w:hanging="540"/>
      </w:pPr>
      <w:r>
        <w:rPr>
          <w:rFonts w:ascii="Times New Roman" w:hAnsi="Times New Roman" w:eastAsia="Times New Roman" w:cs="Times New Roman"/>
          <w:b/>
          <w:bCs/>
          <w:sz w:val="20"/>
          <w:szCs w:val="20"/>
        </w:rPr>
        <w:t xml:space="preserve">[16]  </w:t>
      </w:r>
      <w:r>
        <w:rPr>
          <w:rFonts w:ascii="Times New Roman" w:hAnsi="Times New Roman" w:eastAsia="Times New Roman" w:cs="Times New Roman"/>
          <w:sz w:val="20"/>
          <w:szCs w:val="20"/>
        </w:rPr>
        <w:t>K. J. Åström and R. M. Murray, Feedback Systems: An Introduction for Scientists and Engineers. Princeton, NJ: Princeton University Press, 2010.</w:t>
      </w:r>
    </w:p>
    <w:p w14:paraId="29C154B4">
      <w:pPr>
        <w:spacing w:before="40" w:after="60"/>
        <w:ind w:left="540" w:hanging="540"/>
      </w:pPr>
      <w:r>
        <w:rPr>
          <w:rFonts w:ascii="Times New Roman" w:hAnsi="Times New Roman" w:eastAsia="Times New Roman" w:cs="Times New Roman"/>
          <w:b/>
          <w:bCs/>
          <w:sz w:val="20"/>
          <w:szCs w:val="20"/>
        </w:rPr>
        <w:t xml:space="preserve">[17]  </w:t>
      </w:r>
      <w:r>
        <w:rPr>
          <w:rFonts w:ascii="Times New Roman" w:hAnsi="Times New Roman" w:eastAsia="Times New Roman" w:cs="Times New Roman"/>
          <w:sz w:val="20"/>
          <w:szCs w:val="20"/>
        </w:rPr>
        <w:t>J. Schulman, F. Wolski, P. Dhariwal, A. Radford, and O. Klimov, "Proximal policy optimization algorithms," arXiv preprint arXiv:1707.06347, 2017.</w:t>
      </w:r>
    </w:p>
    <w:p w14:paraId="669DED47">
      <w:pPr>
        <w:spacing w:before="40" w:after="60"/>
        <w:ind w:left="540" w:hanging="540"/>
      </w:pPr>
      <w:r>
        <w:rPr>
          <w:rFonts w:ascii="Times New Roman" w:hAnsi="Times New Roman" w:eastAsia="Times New Roman" w:cs="Times New Roman"/>
          <w:b/>
          <w:bCs/>
          <w:sz w:val="20"/>
          <w:szCs w:val="20"/>
        </w:rPr>
        <w:t xml:space="preserve">[18]  </w:t>
      </w:r>
      <w:r>
        <w:rPr>
          <w:rFonts w:ascii="Times New Roman" w:hAnsi="Times New Roman" w:eastAsia="Times New Roman" w:cs="Times New Roman"/>
          <w:sz w:val="20"/>
          <w:szCs w:val="20"/>
        </w:rPr>
        <w:t>V. Mnih, K. Kavukcuoglu, D. Silver, A. Rusu, J. Veness, et al., "Human-level control through deep reinforcement learning," Nature, vol. 518, no. 7540, pp. 529–533, 2015.</w:t>
      </w:r>
    </w:p>
    <w:p w14:paraId="3C7EBA10">
      <w:pPr>
        <w:spacing w:before="40" w:after="60"/>
        <w:ind w:left="540" w:hanging="540"/>
      </w:pPr>
      <w:r>
        <w:rPr>
          <w:rFonts w:ascii="Times New Roman" w:hAnsi="Times New Roman" w:eastAsia="Times New Roman" w:cs="Times New Roman"/>
          <w:b/>
          <w:bCs/>
          <w:sz w:val="20"/>
          <w:szCs w:val="20"/>
        </w:rPr>
        <w:t xml:space="preserve">[19]  </w:t>
      </w:r>
      <w:r>
        <w:rPr>
          <w:rFonts w:ascii="Times New Roman" w:hAnsi="Times New Roman" w:eastAsia="Times New Roman" w:cs="Times New Roman"/>
          <w:sz w:val="20"/>
          <w:szCs w:val="20"/>
        </w:rPr>
        <w:t>L. Grüne and J. Pannek, Nonlinear Model Predictive Control: Theory and Algorithms. Berlin: Springer, 2013.</w:t>
      </w:r>
    </w:p>
    <w:p w14:paraId="11C6DFC1">
      <w:pPr>
        <w:spacing w:before="40" w:after="60"/>
        <w:ind w:left="540" w:hanging="540"/>
      </w:pPr>
      <w:r>
        <w:rPr>
          <w:rFonts w:ascii="Times New Roman" w:hAnsi="Times New Roman" w:eastAsia="Times New Roman" w:cs="Times New Roman"/>
          <w:b/>
          <w:bCs/>
          <w:sz w:val="20"/>
          <w:szCs w:val="20"/>
        </w:rPr>
        <w:t xml:space="preserve">[20]  </w:t>
      </w:r>
      <w:r>
        <w:rPr>
          <w:rFonts w:ascii="Times New Roman" w:hAnsi="Times New Roman" w:eastAsia="Times New Roman" w:cs="Times New Roman"/>
          <w:sz w:val="20"/>
          <w:szCs w:val="20"/>
        </w:rPr>
        <w:t>H. Nguyen et al., "Model predictive control for micro aerial vehicles: A survey," in Proc. IEEE/RSJ IROS, 2021, pp. 7220–7227.</w:t>
      </w:r>
    </w:p>
    <w:p w14:paraId="0CC621EA">
      <w:pPr>
        <w:spacing w:before="40" w:after="60"/>
        <w:ind w:left="540" w:hanging="540"/>
      </w:pPr>
      <w:r>
        <w:rPr>
          <w:rFonts w:ascii="Times New Roman" w:hAnsi="Times New Roman" w:eastAsia="Times New Roman" w:cs="Times New Roman"/>
          <w:b/>
          <w:bCs/>
          <w:sz w:val="20"/>
          <w:szCs w:val="20"/>
        </w:rPr>
        <w:t xml:space="preserve">[21]  </w:t>
      </w:r>
      <w:r>
        <w:rPr>
          <w:rFonts w:ascii="Times New Roman" w:hAnsi="Times New Roman" w:eastAsia="Times New Roman" w:cs="Times New Roman"/>
          <w:sz w:val="20"/>
          <w:szCs w:val="20"/>
        </w:rPr>
        <w:t>L. T. Biegler and V. M. Zavala, "Large-scale nonlinear programming using IPOPT," Computers &amp; Chemical Engineering, vol. 33, no. 3, pp. 575–582, 2009.</w:t>
      </w:r>
    </w:p>
    <w:p w14:paraId="5A186F15">
      <w:pPr>
        <w:spacing w:before="40" w:after="60"/>
        <w:ind w:left="540" w:hanging="540"/>
      </w:pPr>
      <w:r>
        <w:rPr>
          <w:rFonts w:ascii="Times New Roman" w:hAnsi="Times New Roman" w:eastAsia="Times New Roman" w:cs="Times New Roman"/>
          <w:b/>
          <w:bCs/>
          <w:sz w:val="20"/>
          <w:szCs w:val="20"/>
        </w:rPr>
        <w:t xml:space="preserve">[22]  </w:t>
      </w:r>
      <w:r>
        <w:rPr>
          <w:rFonts w:ascii="Times New Roman" w:hAnsi="Times New Roman" w:eastAsia="Times New Roman" w:cs="Times New Roman"/>
          <w:sz w:val="20"/>
          <w:szCs w:val="20"/>
        </w:rPr>
        <w:t>E. Bohn, E. M. Coates, S. Moe, and T. A. Johansen, "Data-efficient deep reinforcement learning for attitude control of fixed-wing UAVs," IEEE Transactions on Neural Networks and Learning Systems, vol. 35, no. 2, pp. 2196–2209, 2024.</w:t>
      </w:r>
    </w:p>
    <w:p w14:paraId="570BC9C8">
      <w:pPr>
        <w:spacing w:before="40" w:after="60"/>
        <w:ind w:left="540" w:hanging="540"/>
      </w:pPr>
      <w:r>
        <w:rPr>
          <w:rFonts w:ascii="Times New Roman" w:hAnsi="Times New Roman" w:eastAsia="Times New Roman" w:cs="Times New Roman"/>
          <w:b/>
          <w:bCs/>
          <w:sz w:val="20"/>
          <w:szCs w:val="20"/>
        </w:rPr>
        <w:t xml:space="preserve">[23]  </w:t>
      </w:r>
      <w:r>
        <w:rPr>
          <w:rFonts w:ascii="Times New Roman" w:hAnsi="Times New Roman" w:eastAsia="Times New Roman" w:cs="Times New Roman"/>
          <w:sz w:val="20"/>
          <w:szCs w:val="20"/>
        </w:rPr>
        <w:t>A. Raffin, A. Hill, A. Gleave, A. Kanervisto, M. Ernestus, and N. Dormann, "Stable-baselines3: Reliable reinforcement learning implementations," Journal of Machine Learning Research, vol. 22, no. 268, pp. 1–8, 2021.</w:t>
      </w:r>
    </w:p>
    <w:p w14:paraId="73F4C448">
      <w:pPr>
        <w:spacing w:before="40" w:after="60"/>
        <w:ind w:left="540" w:hanging="540"/>
      </w:pPr>
      <w:r>
        <w:rPr>
          <w:rFonts w:ascii="Times New Roman" w:hAnsi="Times New Roman" w:eastAsia="Times New Roman" w:cs="Times New Roman"/>
          <w:b/>
          <w:bCs/>
          <w:sz w:val="20"/>
          <w:szCs w:val="20"/>
        </w:rPr>
        <w:t xml:space="preserve">[24]  </w:t>
      </w:r>
      <w:r>
        <w:rPr>
          <w:rFonts w:ascii="Times New Roman" w:hAnsi="Times New Roman" w:eastAsia="Times New Roman" w:cs="Times New Roman"/>
          <w:sz w:val="20"/>
          <w:szCs w:val="20"/>
        </w:rPr>
        <w:t>L. Brunke, M. Greeff, A. Hall, Z. Yuan, S. Zhou, J. Panerati, and A. Schoellig, "Safe learning in robotics: From learning-based control to safe reinforcement learning," Annual Review of Control, Robotics, and Autonomous Systems, vol. 5, pp. 411–444, 2022.</w:t>
      </w:r>
    </w:p>
    <w:p w14:paraId="41AB9D5D">
      <w:pPr>
        <w:spacing w:before="40" w:after="60"/>
        <w:ind w:left="540" w:hanging="540"/>
      </w:pPr>
      <w:r>
        <w:rPr>
          <w:rFonts w:ascii="Times New Roman" w:hAnsi="Times New Roman" w:eastAsia="Times New Roman" w:cs="Times New Roman"/>
          <w:b/>
          <w:bCs/>
          <w:sz w:val="20"/>
          <w:szCs w:val="20"/>
        </w:rPr>
        <w:t xml:space="preserve">[25]  </w:t>
      </w:r>
      <w:r>
        <w:rPr>
          <w:rFonts w:ascii="Times New Roman" w:hAnsi="Times New Roman" w:eastAsia="Times New Roman" w:cs="Times New Roman"/>
          <w:sz w:val="20"/>
          <w:szCs w:val="20"/>
        </w:rPr>
        <w:t>A. Romero, S. Sun, P. Foehn, and D. Scaramuzza, "Actor-critic model predictive control: Differentiable optimization meets reinforcement learning," in Proc. IEEE ICRA, 2023.</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singleLevel"/>
    <w:tmpl w:val="B0F1ACD9"/>
    <w:lvl w:ilvl="0" w:tentative="0">
      <w:start w:val="1"/>
      <w:numFmt w:val="bullet"/>
      <w:lvlText w:val="•"/>
      <w:lvlJc w:val="left"/>
      <w:pPr>
        <w:ind w:left="720" w:hanging="360"/>
      </w:pPr>
    </w:lvl>
  </w:abstractNum>
  <w:abstractNum w:abstractNumId="1">
    <w:nsid w:val="C9E416BD"/>
    <w:multiLevelType w:val="singleLevel"/>
    <w:tmpl w:val="C9E416BD"/>
    <w:lvl w:ilvl="0" w:tentative="0">
      <w:start w:val="1"/>
      <w:numFmt w:val="decimal"/>
      <w:suff w:val="space"/>
      <w:lvlText w:val="%1."/>
      <w:lvlJc w:val="left"/>
    </w:lvl>
  </w:abstractNum>
  <w:abstractNum w:abstractNumId="2">
    <w:nsid w:val="25B654F3"/>
    <w:multiLevelType w:val="singleLevel"/>
    <w:tmpl w:val="25B654F3"/>
    <w:lvl w:ilvl="0" w:tentative="0">
      <w:start w:val="1"/>
      <w:numFmt w:val="bullet"/>
      <w:lvlText w:val="•"/>
      <w:lvlJc w:val="left"/>
      <w:pPr>
        <w:ind w:left="540" w:hanging="360"/>
      </w:pPr>
    </w:lvl>
  </w:abstractNum>
  <w:num w:numId="1">
    <w:abstractNumId w:val="1"/>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7D0120B"/>
    <w:rsid w:val="254118B7"/>
    <w:rsid w:val="6E820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6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4A7A"/>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1136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2026-04-14T07:01:00Z</dcterms:created>
  <dc:creator>Un-named</dc:creator>
  <cp:lastModifiedBy>7480</cp:lastModifiedBy>
  <dcterms:modified xsi:type="dcterms:W3CDTF">2026-04-16T04:39:16Z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1C582244E3694882AAE2D25289F444C0_13</vt:lpwstr>
  </property>
</Properties>
</file>