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A8C" w:rsidRDefault="00CD64D3">
      <w:pPr>
        <w:rPr>
          <w:sz w:val="28"/>
        </w:rPr>
      </w:pPr>
      <w:r>
        <w:rPr>
          <w:noProof/>
          <w:sz w:val="28"/>
        </w:rPr>
        <mc:AlternateContent>
          <mc:Choice Requires="wps">
            <w:drawing>
              <wp:anchor distT="0" distB="0" distL="114300" distR="114300" simplePos="0" relativeHeight="251659264" behindDoc="1" locked="0" layoutInCell="1" allowOverlap="1">
                <wp:simplePos x="0" y="0"/>
                <wp:positionH relativeFrom="margin">
                  <wp:align>left</wp:align>
                </wp:positionH>
                <wp:positionV relativeFrom="paragraph">
                  <wp:posOffset>416535</wp:posOffset>
                </wp:positionV>
                <wp:extent cx="1850746" cy="7315"/>
                <wp:effectExtent l="0" t="0" r="35560" b="31115"/>
                <wp:wrapTight wrapText="bothSides">
                  <wp:wrapPolygon edited="0">
                    <wp:start x="0" y="0"/>
                    <wp:lineTo x="0" y="58909"/>
                    <wp:lineTo x="21793" y="58909"/>
                    <wp:lineTo x="21793" y="0"/>
                    <wp:lineTo x="0" y="0"/>
                  </wp:wrapPolygon>
                </wp:wrapTight>
                <wp:docPr id="1" name="Straight Connector 1"/>
                <wp:cNvGraphicFramePr/>
                <a:graphic xmlns:a="http://schemas.openxmlformats.org/drawingml/2006/main">
                  <a:graphicData uri="http://schemas.microsoft.com/office/word/2010/wordprocessingShape">
                    <wps:wsp>
                      <wps:cNvCnPr/>
                      <wps:spPr>
                        <a:xfrm flipV="1">
                          <a:off x="0" y="0"/>
                          <a:ext cx="1850746"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186E71" id="Straight Connector 1" o:spid="_x0000_s1026" style="position:absolute;flip:y;z-index:-251657216;visibility:visible;mso-wrap-style:square;mso-wrap-distance-left:9pt;mso-wrap-distance-top:0;mso-wrap-distance-right:9pt;mso-wrap-distance-bottom:0;mso-position-horizontal:left;mso-position-horizontal-relative:margin;mso-position-vertical:absolute;mso-position-vertical-relative:text" from="0,32.8pt" to="145.75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" strokecolor="#4a66ac [3204]" strokeweight=".5pt">
                <v:stroke joinstyle="miter"/>
                <w10:wrap type="tight" anchorx="margin"/>
              </v:line>
            </w:pict>
          </mc:Fallback>
        </mc:AlternateContent>
      </w:r>
      <w:r w:rsidRPr="00CD64D3">
        <w:rPr>
          <w:b/>
          <w:sz w:val="28"/>
        </w:rPr>
        <w:t xml:space="preserve">Apple </w:t>
      </w:r>
      <w:r>
        <w:rPr>
          <w:b/>
          <w:sz w:val="28"/>
        </w:rPr>
        <w:t>Inc</w:t>
      </w:r>
      <w:r w:rsidRPr="00CD64D3">
        <w:rPr>
          <w:sz w:val="28"/>
        </w:rPr>
        <w:t xml:space="preserve"> </w:t>
      </w:r>
      <w:r w:rsidRPr="00806937">
        <w:rPr>
          <w:color w:val="4A66AC" w:themeColor="accent1"/>
          <w:sz w:val="28"/>
        </w:rPr>
        <w:t>AAPL</w:t>
      </w:r>
    </w:p>
    <w:p w:rsidR="00CD64D3" w:rsidRDefault="00CD64D3" w:rsidP="00524A1A">
      <w:pPr>
        <w:ind w:right="-1050"/>
        <w:rPr>
          <w:b/>
          <w:sz w:val="18"/>
        </w:rPr>
      </w:pPr>
      <w:r w:rsidRPr="00CD64D3">
        <w:rPr>
          <w:b/>
          <w:sz w:val="18"/>
        </w:rPr>
        <w:t>Company Profile</w:t>
      </w:r>
    </w:p>
    <w:p w:rsidR="005D32AA" w:rsidRDefault="005D32AA" w:rsidP="00CD64D3">
      <w:pPr>
        <w:rPr>
          <w:sz w:val="18"/>
        </w:rPr>
      </w:pPr>
      <w:r>
        <w:rPr>
          <w:noProof/>
          <w:sz w:val="28"/>
        </w:rPr>
        <mc:AlternateContent>
          <mc:Choice Requires="wps">
            <w:drawing>
              <wp:anchor distT="0" distB="0" distL="114300" distR="114300" simplePos="0" relativeHeight="251661312" behindDoc="1" locked="0" layoutInCell="1" allowOverlap="1" wp14:anchorId="514C0739" wp14:editId="6CBDF1B7">
                <wp:simplePos x="0" y="0"/>
                <wp:positionH relativeFrom="margin">
                  <wp:align>left</wp:align>
                </wp:positionH>
                <wp:positionV relativeFrom="paragraph">
                  <wp:posOffset>2920949</wp:posOffset>
                </wp:positionV>
                <wp:extent cx="1850746" cy="7315"/>
                <wp:effectExtent l="0" t="0" r="35560" b="31115"/>
                <wp:wrapTight wrapText="bothSides">
                  <wp:wrapPolygon edited="0">
                    <wp:start x="0" y="0"/>
                    <wp:lineTo x="0" y="58909"/>
                    <wp:lineTo x="21793" y="58909"/>
                    <wp:lineTo x="21793" y="0"/>
                    <wp:lineTo x="0" y="0"/>
                  </wp:wrapPolygon>
                </wp:wrapTight>
                <wp:docPr id="2" name="Straight Connector 2"/>
                <wp:cNvGraphicFramePr/>
                <a:graphic xmlns:a="http://schemas.openxmlformats.org/drawingml/2006/main">
                  <a:graphicData uri="http://schemas.microsoft.com/office/word/2010/wordprocessingShape">
                    <wps:wsp>
                      <wps:cNvCnPr/>
                      <wps:spPr>
                        <a:xfrm flipV="1">
                          <a:off x="0" y="0"/>
                          <a:ext cx="1850746"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F7A21" id="Straight Connector 2" o:spid="_x0000_s1026" style="position:absolute;flip:y;z-index:-251655168;visibility:visible;mso-wrap-style:square;mso-wrap-distance-left:9pt;mso-wrap-distance-top:0;mso-wrap-distance-right:9pt;mso-wrap-distance-bottom:0;mso-position-horizontal:left;mso-position-horizontal-relative:margin;mso-position-vertical:absolute;mso-position-vertical-relative:text" from="0,230pt" to="145.75pt,23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" strokecolor="#4a66ac [3204]" strokeweight=".5pt">
                <v:stroke joinstyle="miter"/>
                <w10:wrap type="tight" anchorx="margin"/>
              </v:line>
            </w:pict>
          </mc:Fallback>
        </mc:AlternateContent>
      </w:r>
      <w:r w:rsidR="00CD64D3" w:rsidRPr="00CD64D3">
        <w:rPr>
          <w:sz w:val="18"/>
        </w:rPr>
        <w:t>Apple Inc. (Apple) designs, manufactures and markets smartphones, personal computers, tablets, wearables and accessories and sells a range of related services. The Company's products include iPhone, Mac, iPad, Air Pods, Apple TV, Apple Watch, Beats products, Home Pod, iPod touch and accessories.</w:t>
      </w:r>
      <w:r w:rsidR="003A73F0" w:rsidRPr="003A73F0">
        <w:t xml:space="preserve"> </w:t>
      </w:r>
      <w:r w:rsidR="003A73F0" w:rsidRPr="003A73F0">
        <w:rPr>
          <w:sz w:val="18"/>
        </w:rPr>
        <w:t>The Apple Store sells and ships products to end-user customers only</w:t>
      </w:r>
      <w:r>
        <w:rPr>
          <w:sz w:val="18"/>
        </w:rPr>
        <w:t>. Consumers</w:t>
      </w:r>
      <w:r w:rsidRPr="005D32AA">
        <w:rPr>
          <w:sz w:val="18"/>
        </w:rPr>
        <w:t xml:space="preserve"> can purchase Apple products </w:t>
      </w:r>
      <w:r>
        <w:rPr>
          <w:sz w:val="18"/>
        </w:rPr>
        <w:t>directly from Apple Store or off the Apple website, from</w:t>
      </w:r>
      <w:r w:rsidRPr="005D32AA">
        <w:rPr>
          <w:sz w:val="18"/>
        </w:rPr>
        <w:t xml:space="preserve"> stores like Walmart or Best Buy or through</w:t>
      </w:r>
      <w:r>
        <w:rPr>
          <w:sz w:val="18"/>
        </w:rPr>
        <w:t xml:space="preserve"> </w:t>
      </w:r>
      <w:r w:rsidRPr="005D32AA">
        <w:rPr>
          <w:sz w:val="18"/>
        </w:rPr>
        <w:t>cell phone carrier. In this scenario, Apple operates as a manufacturer, wholesaler, and retailer.</w:t>
      </w:r>
    </w:p>
    <w:p w:rsidR="005D32AA" w:rsidRDefault="002D3DF7" w:rsidP="00CD64D3">
      <w:pPr>
        <w:rPr>
          <w:b/>
          <w:sz w:val="18"/>
        </w:rPr>
      </w:pPr>
      <w:r w:rsidRPr="002D3DF7">
        <w:rPr>
          <w:b/>
          <w:sz w:val="18"/>
        </w:rPr>
        <w:t>Management</w:t>
      </w:r>
    </w:p>
    <w:p w:rsidR="005C0F52" w:rsidRDefault="005C0F52" w:rsidP="00CD64D3">
      <w:pPr>
        <w:rPr>
          <w:sz w:val="18"/>
        </w:rPr>
      </w:pPr>
      <w:r>
        <w:rPr>
          <w:noProof/>
          <w:sz w:val="28"/>
        </w:rPr>
        <mc:AlternateContent>
          <mc:Choice Requires="wps">
            <w:drawing>
              <wp:anchor distT="0" distB="0" distL="114300" distR="114300" simplePos="0" relativeHeight="251663360" behindDoc="1" locked="0" layoutInCell="1" allowOverlap="1" wp14:anchorId="2C2E4404" wp14:editId="05F41C5B">
                <wp:simplePos x="0" y="0"/>
                <wp:positionH relativeFrom="margin">
                  <wp:posOffset>-1219</wp:posOffset>
                </wp:positionH>
                <wp:positionV relativeFrom="paragraph">
                  <wp:posOffset>2201164</wp:posOffset>
                </wp:positionV>
                <wp:extent cx="1850746" cy="7315"/>
                <wp:effectExtent l="0" t="0" r="35560" b="31115"/>
                <wp:wrapTight wrapText="bothSides">
                  <wp:wrapPolygon edited="0">
                    <wp:start x="0" y="0"/>
                    <wp:lineTo x="0" y="58909"/>
                    <wp:lineTo x="21793" y="58909"/>
                    <wp:lineTo x="21793" y="0"/>
                    <wp:lineTo x="0" y="0"/>
                  </wp:wrapPolygon>
                </wp:wrapTight>
                <wp:docPr id="3" name="Straight Connector 3"/>
                <wp:cNvGraphicFramePr/>
                <a:graphic xmlns:a="http://schemas.openxmlformats.org/drawingml/2006/main">
                  <a:graphicData uri="http://schemas.microsoft.com/office/word/2010/wordprocessingShape">
                    <wps:wsp>
                      <wps:cNvCnPr/>
                      <wps:spPr>
                        <a:xfrm flipV="1">
                          <a:off x="0" y="0"/>
                          <a:ext cx="1850746" cy="73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1D69F6" id="Straight Connector 3" o:spid="_x0000_s1026" style="position:absolute;flip:y;z-index:-251653120;visibility:visible;mso-wrap-style:square;mso-wrap-distance-left:9pt;mso-wrap-distance-top:0;mso-wrap-distance-right:9pt;mso-wrap-distance-bottom:0;mso-position-horizontal:absolute;mso-position-horizontal-relative:margin;mso-position-vertical:absolute;mso-position-vertical-relative:text" from="-.1pt,173.3pt" to="145.65pt,17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" strokecolor="#4a66ac [3204]" strokeweight=".5pt">
                <v:stroke joinstyle="miter"/>
                <w10:wrap type="tight" anchorx="margin"/>
              </v:line>
            </w:pict>
          </mc:Fallback>
        </mc:AlternateContent>
      </w:r>
      <w:r w:rsidR="00C80425" w:rsidRPr="00C80425">
        <w:rPr>
          <w:sz w:val="18"/>
        </w:rPr>
        <w:t>Apple was founded as Apple Computer Company on April 1, 1976, by Steve Jobs, Steve Wozniak and Ronald Wayne</w:t>
      </w:r>
      <w:r w:rsidR="00C80425">
        <w:rPr>
          <w:sz w:val="18"/>
        </w:rPr>
        <w:t xml:space="preserve">. </w:t>
      </w:r>
      <w:r w:rsidR="00C80425" w:rsidRPr="00C80425">
        <w:rPr>
          <w:sz w:val="18"/>
        </w:rPr>
        <w:t xml:space="preserve">Apple Inc. is owned by two main institutional investors (Vanguard Group and BlackRock, Inc). While its major individual shareholders comprise people like Art Levinson, Tim Cook, Bruce Sewell, Al Gore, </w:t>
      </w:r>
      <w:proofErr w:type="spellStart"/>
      <w:r w:rsidR="00C80425" w:rsidRPr="00C80425">
        <w:rPr>
          <w:sz w:val="18"/>
        </w:rPr>
        <w:t>Johny</w:t>
      </w:r>
      <w:proofErr w:type="spellEnd"/>
      <w:r w:rsidR="00C80425" w:rsidRPr="00C80425">
        <w:rPr>
          <w:sz w:val="18"/>
        </w:rPr>
        <w:t xml:space="preserve"> </w:t>
      </w:r>
      <w:proofErr w:type="spellStart"/>
      <w:r w:rsidR="00C80425" w:rsidRPr="00C80425">
        <w:rPr>
          <w:sz w:val="18"/>
        </w:rPr>
        <w:t>Sroujli</w:t>
      </w:r>
      <w:proofErr w:type="spellEnd"/>
      <w:r w:rsidR="00C80425" w:rsidRPr="00C80425">
        <w:rPr>
          <w:sz w:val="18"/>
        </w:rPr>
        <w:t>, and others.</w:t>
      </w:r>
      <w:r w:rsidR="00BC0619">
        <w:rPr>
          <w:sz w:val="18"/>
        </w:rPr>
        <w:t xml:space="preserve"> </w:t>
      </w:r>
      <w:r w:rsidR="00BC0619" w:rsidRPr="00BC0619">
        <w:rPr>
          <w:sz w:val="18"/>
        </w:rPr>
        <w:t>Tim Cook</w:t>
      </w:r>
      <w:r w:rsidR="00BC0619">
        <w:rPr>
          <w:sz w:val="18"/>
        </w:rPr>
        <w:t xml:space="preserve"> is currently the </w:t>
      </w:r>
      <w:r w:rsidR="00BC0619" w:rsidRPr="00BC0619">
        <w:rPr>
          <w:sz w:val="18"/>
        </w:rPr>
        <w:t>CEO</w:t>
      </w:r>
      <w:r w:rsidR="00BC0619">
        <w:rPr>
          <w:sz w:val="18"/>
        </w:rPr>
        <w:t xml:space="preserve"> of Apple Inc. </w:t>
      </w:r>
      <w:r w:rsidR="00E224F2">
        <w:rPr>
          <w:sz w:val="18"/>
        </w:rPr>
        <w:t xml:space="preserve">Both </w:t>
      </w:r>
      <w:r w:rsidR="00BC0619" w:rsidRPr="00BC0619">
        <w:rPr>
          <w:sz w:val="18"/>
        </w:rPr>
        <w:t xml:space="preserve">Luca </w:t>
      </w:r>
      <w:proofErr w:type="spellStart"/>
      <w:r w:rsidR="00BC0619" w:rsidRPr="00BC0619">
        <w:rPr>
          <w:sz w:val="18"/>
        </w:rPr>
        <w:t>Maestri</w:t>
      </w:r>
      <w:proofErr w:type="spellEnd"/>
      <w:r w:rsidR="00BC0619" w:rsidRPr="00BC0619">
        <w:rPr>
          <w:sz w:val="18"/>
        </w:rPr>
        <w:t xml:space="preserve"> </w:t>
      </w:r>
      <w:r w:rsidR="00E224F2">
        <w:rPr>
          <w:sz w:val="18"/>
        </w:rPr>
        <w:t xml:space="preserve">(CFO) &amp; </w:t>
      </w:r>
      <w:r w:rsidR="00E224F2" w:rsidRPr="00E224F2">
        <w:rPr>
          <w:sz w:val="18"/>
        </w:rPr>
        <w:t>Jeff Williams</w:t>
      </w:r>
      <w:r w:rsidR="00E224F2">
        <w:rPr>
          <w:sz w:val="18"/>
        </w:rPr>
        <w:t xml:space="preserve"> (COO)</w:t>
      </w:r>
      <w:r w:rsidR="00E224F2" w:rsidRPr="00E224F2">
        <w:rPr>
          <w:sz w:val="18"/>
        </w:rPr>
        <w:t xml:space="preserve"> </w:t>
      </w:r>
      <w:r w:rsidR="00BC0619" w:rsidRPr="00BC0619">
        <w:rPr>
          <w:sz w:val="18"/>
        </w:rPr>
        <w:t>report to CEO Tim Cook.</w:t>
      </w:r>
    </w:p>
    <w:p w:rsidR="002D3DF7" w:rsidRDefault="002D3DF7" w:rsidP="00CD64D3">
      <w:pPr>
        <w:rPr>
          <w:b/>
          <w:sz w:val="18"/>
        </w:rPr>
      </w:pPr>
    </w:p>
    <w:tbl>
      <w:tblPr>
        <w:tblStyle w:val="ListTable4-Accent3"/>
        <w:tblW w:w="2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5"/>
        <w:gridCol w:w="590"/>
        <w:gridCol w:w="590"/>
        <w:gridCol w:w="610"/>
      </w:tblGrid>
      <w:tr w:rsidR="00AB61B9" w:rsidRPr="00AB61B9" w:rsidTr="000B5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Borders>
              <w:top w:val="none" w:sz="0" w:space="0" w:color="auto"/>
              <w:left w:val="none" w:sz="0" w:space="0" w:color="auto"/>
              <w:bottom w:val="none" w:sz="0" w:space="0" w:color="auto"/>
            </w:tcBorders>
          </w:tcPr>
          <w:p w:rsidR="00AB61B9" w:rsidRPr="00AB61B9" w:rsidRDefault="00AB61B9" w:rsidP="00AB61B9">
            <w:pPr>
              <w:rPr>
                <w:b w:val="0"/>
                <w:sz w:val="16"/>
              </w:rPr>
            </w:pPr>
            <w:r w:rsidRPr="00AB61B9">
              <w:rPr>
                <w:sz w:val="16"/>
              </w:rPr>
              <w:t>YoY</w:t>
            </w:r>
          </w:p>
        </w:tc>
        <w:tc>
          <w:tcPr>
            <w:tcW w:w="405" w:type="dxa"/>
            <w:tcBorders>
              <w:top w:val="none" w:sz="0" w:space="0" w:color="auto"/>
              <w:bottom w:val="none" w:sz="0" w:space="0" w:color="auto"/>
            </w:tcBorders>
          </w:tcPr>
          <w:p w:rsidR="00AB61B9" w:rsidRPr="00AB61B9" w:rsidRDefault="00AB61B9" w:rsidP="00AB61B9">
            <w:pPr>
              <w:cnfStyle w:val="100000000000" w:firstRow="1" w:lastRow="0" w:firstColumn="0" w:lastColumn="0" w:oddVBand="0" w:evenVBand="0" w:oddHBand="0" w:evenHBand="0" w:firstRowFirstColumn="0" w:firstRowLastColumn="0" w:lastRowFirstColumn="0" w:lastRowLastColumn="0"/>
              <w:rPr>
                <w:b w:val="0"/>
                <w:sz w:val="16"/>
              </w:rPr>
            </w:pPr>
            <w:r w:rsidRPr="00AB61B9">
              <w:rPr>
                <w:sz w:val="16"/>
              </w:rPr>
              <w:t>2022-09</w:t>
            </w:r>
          </w:p>
        </w:tc>
        <w:tc>
          <w:tcPr>
            <w:tcW w:w="590" w:type="dxa"/>
            <w:tcBorders>
              <w:top w:val="none" w:sz="0" w:space="0" w:color="auto"/>
              <w:bottom w:val="none" w:sz="0" w:space="0" w:color="auto"/>
            </w:tcBorders>
          </w:tcPr>
          <w:p w:rsidR="00AB61B9" w:rsidRPr="00AB61B9" w:rsidRDefault="00AB61B9" w:rsidP="00AB61B9">
            <w:pPr>
              <w:cnfStyle w:val="100000000000" w:firstRow="1" w:lastRow="0" w:firstColumn="0" w:lastColumn="0" w:oddVBand="0" w:evenVBand="0" w:oddHBand="0" w:evenHBand="0" w:firstRowFirstColumn="0" w:firstRowLastColumn="0" w:lastRowFirstColumn="0" w:lastRowLastColumn="0"/>
              <w:rPr>
                <w:b w:val="0"/>
                <w:sz w:val="16"/>
              </w:rPr>
            </w:pPr>
            <w:r w:rsidRPr="00AB61B9">
              <w:rPr>
                <w:sz w:val="16"/>
              </w:rPr>
              <w:t>2021-09</w:t>
            </w:r>
          </w:p>
        </w:tc>
        <w:tc>
          <w:tcPr>
            <w:tcW w:w="625" w:type="dxa"/>
            <w:tcBorders>
              <w:top w:val="none" w:sz="0" w:space="0" w:color="auto"/>
              <w:bottom w:val="none" w:sz="0" w:space="0" w:color="auto"/>
              <w:right w:val="none" w:sz="0" w:space="0" w:color="auto"/>
            </w:tcBorders>
          </w:tcPr>
          <w:p w:rsidR="00AB61B9" w:rsidRPr="00AB61B9" w:rsidRDefault="00AB61B9" w:rsidP="00AB61B9">
            <w:pPr>
              <w:cnfStyle w:val="100000000000" w:firstRow="1" w:lastRow="0" w:firstColumn="0" w:lastColumn="0" w:oddVBand="0" w:evenVBand="0" w:oddHBand="0" w:evenHBand="0" w:firstRowFirstColumn="0" w:firstRowLastColumn="0" w:lastRowFirstColumn="0" w:lastRowLastColumn="0"/>
              <w:rPr>
                <w:b w:val="0"/>
                <w:sz w:val="16"/>
              </w:rPr>
            </w:pPr>
            <w:r w:rsidRPr="00AB61B9">
              <w:rPr>
                <w:sz w:val="16"/>
              </w:rPr>
              <w:t>2020-09</w:t>
            </w:r>
          </w:p>
        </w:tc>
      </w:tr>
      <w:tr w:rsidR="00AB61B9" w:rsidRPr="00AB61B9" w:rsidTr="000B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AB61B9" w:rsidRPr="00AB61B9" w:rsidRDefault="00AB61B9" w:rsidP="00AB61B9">
            <w:pPr>
              <w:rPr>
                <w:sz w:val="16"/>
              </w:rPr>
            </w:pPr>
            <w:r w:rsidRPr="00AB61B9">
              <w:rPr>
                <w:sz w:val="16"/>
              </w:rPr>
              <w:t>Revenue %</w:t>
            </w:r>
          </w:p>
        </w:tc>
        <w:tc>
          <w:tcPr>
            <w:tcW w:w="405"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7.79</w:t>
            </w:r>
          </w:p>
        </w:tc>
        <w:tc>
          <w:tcPr>
            <w:tcW w:w="590"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33.26</w:t>
            </w:r>
          </w:p>
        </w:tc>
        <w:tc>
          <w:tcPr>
            <w:tcW w:w="625"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5.51</w:t>
            </w:r>
          </w:p>
        </w:tc>
      </w:tr>
      <w:tr w:rsidR="00AB61B9" w:rsidRPr="00AB61B9" w:rsidTr="000B5C3C">
        <w:tc>
          <w:tcPr>
            <w:cnfStyle w:val="001000000000" w:firstRow="0" w:lastRow="0" w:firstColumn="1" w:lastColumn="0" w:oddVBand="0" w:evenVBand="0" w:oddHBand="0" w:evenHBand="0" w:firstRowFirstColumn="0" w:firstRowLastColumn="0" w:lastRowFirstColumn="0" w:lastRowLastColumn="0"/>
            <w:tcW w:w="1345" w:type="dxa"/>
          </w:tcPr>
          <w:p w:rsidR="00AB61B9" w:rsidRPr="00AB61B9" w:rsidRDefault="00AB61B9" w:rsidP="00AB61B9">
            <w:pPr>
              <w:rPr>
                <w:sz w:val="16"/>
              </w:rPr>
            </w:pPr>
            <w:proofErr w:type="spellStart"/>
            <w:proofErr w:type="gramStart"/>
            <w:r w:rsidRPr="00AB61B9">
              <w:rPr>
                <w:sz w:val="16"/>
              </w:rPr>
              <w:t>Op</w:t>
            </w:r>
            <w:r>
              <w:rPr>
                <w:sz w:val="16"/>
              </w:rPr>
              <w:t>.</w:t>
            </w:r>
            <w:r w:rsidRPr="00AB61B9">
              <w:rPr>
                <w:sz w:val="16"/>
              </w:rPr>
              <w:t>Income</w:t>
            </w:r>
            <w:proofErr w:type="spellEnd"/>
            <w:proofErr w:type="gramEnd"/>
            <w:r>
              <w:rPr>
                <w:sz w:val="16"/>
              </w:rPr>
              <w:t xml:space="preserve"> </w:t>
            </w:r>
            <w:r w:rsidRPr="00AB61B9">
              <w:rPr>
                <w:sz w:val="16"/>
              </w:rPr>
              <w:t>%</w:t>
            </w:r>
          </w:p>
        </w:tc>
        <w:tc>
          <w:tcPr>
            <w:tcW w:w="405"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9.63</w:t>
            </w:r>
          </w:p>
        </w:tc>
        <w:tc>
          <w:tcPr>
            <w:tcW w:w="590"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64.36</w:t>
            </w:r>
          </w:p>
        </w:tc>
        <w:tc>
          <w:tcPr>
            <w:tcW w:w="625"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3.69</w:t>
            </w:r>
          </w:p>
        </w:tc>
      </w:tr>
      <w:tr w:rsidR="00AB61B9" w:rsidRPr="00AB61B9" w:rsidTr="000B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AB61B9" w:rsidRPr="00AB61B9" w:rsidRDefault="00AB61B9" w:rsidP="00AB61B9">
            <w:pPr>
              <w:rPr>
                <w:sz w:val="16"/>
              </w:rPr>
            </w:pPr>
            <w:r w:rsidRPr="00AB61B9">
              <w:rPr>
                <w:sz w:val="16"/>
              </w:rPr>
              <w:t>Net Income %</w:t>
            </w:r>
          </w:p>
        </w:tc>
        <w:tc>
          <w:tcPr>
            <w:tcW w:w="405"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5.41</w:t>
            </w:r>
          </w:p>
        </w:tc>
        <w:tc>
          <w:tcPr>
            <w:tcW w:w="590"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64.92</w:t>
            </w:r>
          </w:p>
        </w:tc>
        <w:tc>
          <w:tcPr>
            <w:tcW w:w="625"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3.9</w:t>
            </w:r>
          </w:p>
        </w:tc>
      </w:tr>
      <w:tr w:rsidR="00AB61B9" w:rsidRPr="00AB61B9" w:rsidTr="000B5C3C">
        <w:tc>
          <w:tcPr>
            <w:cnfStyle w:val="001000000000" w:firstRow="0" w:lastRow="0" w:firstColumn="1" w:lastColumn="0" w:oddVBand="0" w:evenVBand="0" w:oddHBand="0" w:evenHBand="0" w:firstRowFirstColumn="0" w:firstRowLastColumn="0" w:lastRowFirstColumn="0" w:lastRowLastColumn="0"/>
            <w:tcW w:w="1345" w:type="dxa"/>
          </w:tcPr>
          <w:p w:rsidR="00AB61B9" w:rsidRPr="00AB61B9" w:rsidRDefault="00AB61B9" w:rsidP="00AB61B9">
            <w:pPr>
              <w:rPr>
                <w:sz w:val="16"/>
              </w:rPr>
            </w:pPr>
            <w:r w:rsidRPr="00AB61B9">
              <w:rPr>
                <w:sz w:val="16"/>
              </w:rPr>
              <w:t>Diluted EPS %</w:t>
            </w:r>
          </w:p>
        </w:tc>
        <w:tc>
          <w:tcPr>
            <w:tcW w:w="405"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8.91</w:t>
            </w:r>
          </w:p>
        </w:tc>
        <w:tc>
          <w:tcPr>
            <w:tcW w:w="590"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71.04</w:t>
            </w:r>
          </w:p>
        </w:tc>
        <w:tc>
          <w:tcPr>
            <w:tcW w:w="625"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10.34</w:t>
            </w:r>
          </w:p>
        </w:tc>
      </w:tr>
    </w:tbl>
    <w:p w:rsidR="00B8426C" w:rsidRDefault="00B8426C" w:rsidP="00CD64D3">
      <w:pPr>
        <w:rPr>
          <w:b/>
          <w:sz w:val="18"/>
        </w:rPr>
      </w:pPr>
    </w:p>
    <w:tbl>
      <w:tblPr>
        <w:tblStyle w:val="GridTable4-Accent3"/>
        <w:tblW w:w="2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619"/>
        <w:gridCol w:w="591"/>
        <w:gridCol w:w="590"/>
      </w:tblGrid>
      <w:tr w:rsidR="00AB61B9" w:rsidRPr="00AB61B9" w:rsidTr="000B5C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none" w:sz="0" w:space="0" w:color="auto"/>
              <w:left w:val="none" w:sz="0" w:space="0" w:color="auto"/>
              <w:bottom w:val="none" w:sz="0" w:space="0" w:color="auto"/>
              <w:right w:val="none" w:sz="0" w:space="0" w:color="auto"/>
            </w:tcBorders>
          </w:tcPr>
          <w:p w:rsidR="00AB61B9" w:rsidRPr="00AB61B9" w:rsidRDefault="00AB61B9" w:rsidP="00AB61B9">
            <w:pPr>
              <w:rPr>
                <w:b w:val="0"/>
                <w:sz w:val="16"/>
              </w:rPr>
            </w:pPr>
            <w:r w:rsidRPr="00AB61B9">
              <w:rPr>
                <w:sz w:val="16"/>
              </w:rPr>
              <w:t>Cash Flow Ratios</w:t>
            </w:r>
          </w:p>
        </w:tc>
        <w:tc>
          <w:tcPr>
            <w:tcW w:w="619" w:type="dxa"/>
            <w:tcBorders>
              <w:top w:val="none" w:sz="0" w:space="0" w:color="auto"/>
              <w:left w:val="none" w:sz="0" w:space="0" w:color="auto"/>
              <w:bottom w:val="none" w:sz="0" w:space="0" w:color="auto"/>
              <w:right w:val="none" w:sz="0" w:space="0" w:color="auto"/>
            </w:tcBorders>
          </w:tcPr>
          <w:p w:rsidR="00AB61B9" w:rsidRPr="00AB61B9" w:rsidRDefault="00AB61B9" w:rsidP="00AB61B9">
            <w:pPr>
              <w:cnfStyle w:val="100000000000" w:firstRow="1" w:lastRow="0" w:firstColumn="0" w:lastColumn="0" w:oddVBand="0" w:evenVBand="0" w:oddHBand="0" w:evenHBand="0" w:firstRowFirstColumn="0" w:firstRowLastColumn="0" w:lastRowFirstColumn="0" w:lastRowLastColumn="0"/>
              <w:rPr>
                <w:b w:val="0"/>
                <w:sz w:val="16"/>
              </w:rPr>
            </w:pPr>
            <w:r w:rsidRPr="00AB61B9">
              <w:rPr>
                <w:sz w:val="16"/>
              </w:rPr>
              <w:t>2022-09</w:t>
            </w:r>
          </w:p>
        </w:tc>
        <w:tc>
          <w:tcPr>
            <w:tcW w:w="591" w:type="dxa"/>
            <w:tcBorders>
              <w:top w:val="none" w:sz="0" w:space="0" w:color="auto"/>
              <w:left w:val="none" w:sz="0" w:space="0" w:color="auto"/>
              <w:bottom w:val="none" w:sz="0" w:space="0" w:color="auto"/>
              <w:right w:val="none" w:sz="0" w:space="0" w:color="auto"/>
            </w:tcBorders>
          </w:tcPr>
          <w:p w:rsidR="00AB61B9" w:rsidRPr="00AB61B9" w:rsidRDefault="00AB61B9" w:rsidP="00AB61B9">
            <w:pPr>
              <w:cnfStyle w:val="100000000000" w:firstRow="1" w:lastRow="0" w:firstColumn="0" w:lastColumn="0" w:oddVBand="0" w:evenVBand="0" w:oddHBand="0" w:evenHBand="0" w:firstRowFirstColumn="0" w:firstRowLastColumn="0" w:lastRowFirstColumn="0" w:lastRowLastColumn="0"/>
              <w:rPr>
                <w:b w:val="0"/>
                <w:sz w:val="16"/>
              </w:rPr>
            </w:pPr>
            <w:r w:rsidRPr="00AB61B9">
              <w:rPr>
                <w:sz w:val="16"/>
              </w:rPr>
              <w:t>2021-09</w:t>
            </w:r>
          </w:p>
        </w:tc>
        <w:tc>
          <w:tcPr>
            <w:tcW w:w="590" w:type="dxa"/>
            <w:tcBorders>
              <w:top w:val="none" w:sz="0" w:space="0" w:color="auto"/>
              <w:left w:val="none" w:sz="0" w:space="0" w:color="auto"/>
              <w:bottom w:val="none" w:sz="0" w:space="0" w:color="auto"/>
              <w:right w:val="none" w:sz="0" w:space="0" w:color="auto"/>
            </w:tcBorders>
          </w:tcPr>
          <w:p w:rsidR="00AB61B9" w:rsidRPr="00AB61B9" w:rsidRDefault="00AB61B9" w:rsidP="00AB61B9">
            <w:pPr>
              <w:cnfStyle w:val="100000000000" w:firstRow="1" w:lastRow="0" w:firstColumn="0" w:lastColumn="0" w:oddVBand="0" w:evenVBand="0" w:oddHBand="0" w:evenHBand="0" w:firstRowFirstColumn="0" w:firstRowLastColumn="0" w:lastRowFirstColumn="0" w:lastRowLastColumn="0"/>
              <w:rPr>
                <w:b w:val="0"/>
                <w:sz w:val="16"/>
              </w:rPr>
            </w:pPr>
            <w:r w:rsidRPr="00AB61B9">
              <w:rPr>
                <w:sz w:val="16"/>
              </w:rPr>
              <w:t>2020-09</w:t>
            </w:r>
          </w:p>
        </w:tc>
      </w:tr>
      <w:tr w:rsidR="00AB61B9" w:rsidRPr="00AB61B9" w:rsidTr="000B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AB61B9" w:rsidRPr="00AB61B9" w:rsidRDefault="00AB61B9" w:rsidP="00AB61B9">
            <w:pPr>
              <w:rPr>
                <w:sz w:val="16"/>
              </w:rPr>
            </w:pPr>
            <w:r w:rsidRPr="00AB61B9">
              <w:rPr>
                <w:sz w:val="16"/>
              </w:rPr>
              <w:t>Operating Cash Flow Growth % YOY</w:t>
            </w:r>
          </w:p>
        </w:tc>
        <w:tc>
          <w:tcPr>
            <w:tcW w:w="619"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17.41</w:t>
            </w:r>
          </w:p>
        </w:tc>
        <w:tc>
          <w:tcPr>
            <w:tcW w:w="591"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28.96</w:t>
            </w:r>
          </w:p>
        </w:tc>
        <w:tc>
          <w:tcPr>
            <w:tcW w:w="590"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16.26</w:t>
            </w:r>
          </w:p>
        </w:tc>
      </w:tr>
      <w:tr w:rsidR="00AB61B9" w:rsidRPr="00AB61B9" w:rsidTr="000B5C3C">
        <w:tc>
          <w:tcPr>
            <w:cnfStyle w:val="001000000000" w:firstRow="0" w:lastRow="0" w:firstColumn="1" w:lastColumn="0" w:oddVBand="0" w:evenVBand="0" w:oddHBand="0" w:evenHBand="0" w:firstRowFirstColumn="0" w:firstRowLastColumn="0" w:lastRowFirstColumn="0" w:lastRowLastColumn="0"/>
            <w:tcW w:w="1165" w:type="dxa"/>
          </w:tcPr>
          <w:p w:rsidR="00AB61B9" w:rsidRPr="00AB61B9" w:rsidRDefault="00AB61B9" w:rsidP="00AB61B9">
            <w:pPr>
              <w:rPr>
                <w:sz w:val="16"/>
              </w:rPr>
            </w:pPr>
            <w:r w:rsidRPr="00AB61B9">
              <w:rPr>
                <w:sz w:val="16"/>
              </w:rPr>
              <w:t>Free Cash Flow Growth % YOY</w:t>
            </w:r>
          </w:p>
        </w:tc>
        <w:tc>
          <w:tcPr>
            <w:tcW w:w="619"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19.89</w:t>
            </w:r>
          </w:p>
        </w:tc>
        <w:tc>
          <w:tcPr>
            <w:tcW w:w="591"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26.7</w:t>
            </w:r>
          </w:p>
        </w:tc>
        <w:tc>
          <w:tcPr>
            <w:tcW w:w="590"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24.57</w:t>
            </w:r>
          </w:p>
        </w:tc>
      </w:tr>
      <w:tr w:rsidR="00AB61B9" w:rsidRPr="00AB61B9" w:rsidTr="000B5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rsidR="00AB61B9" w:rsidRPr="00AB61B9" w:rsidRDefault="00AB61B9" w:rsidP="00AB61B9">
            <w:pPr>
              <w:rPr>
                <w:sz w:val="16"/>
              </w:rPr>
            </w:pPr>
            <w:r w:rsidRPr="00AB61B9">
              <w:rPr>
                <w:sz w:val="16"/>
              </w:rPr>
              <w:t>Cap Ex as a % of Sales</w:t>
            </w:r>
          </w:p>
        </w:tc>
        <w:tc>
          <w:tcPr>
            <w:tcW w:w="619"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2.72</w:t>
            </w:r>
          </w:p>
        </w:tc>
        <w:tc>
          <w:tcPr>
            <w:tcW w:w="591"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3.03</w:t>
            </w:r>
          </w:p>
        </w:tc>
        <w:tc>
          <w:tcPr>
            <w:tcW w:w="590"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2.66</w:t>
            </w:r>
          </w:p>
        </w:tc>
      </w:tr>
      <w:tr w:rsidR="00AB61B9" w:rsidRPr="00AB61B9" w:rsidTr="000B5C3C">
        <w:tc>
          <w:tcPr>
            <w:cnfStyle w:val="001000000000" w:firstRow="0" w:lastRow="0" w:firstColumn="1" w:lastColumn="0" w:oddVBand="0" w:evenVBand="0" w:oddHBand="0" w:evenHBand="0" w:firstRowFirstColumn="0" w:firstRowLastColumn="0" w:lastRowFirstColumn="0" w:lastRowLastColumn="0"/>
            <w:tcW w:w="1165" w:type="dxa"/>
          </w:tcPr>
          <w:p w:rsidR="00AB61B9" w:rsidRPr="00AB61B9" w:rsidRDefault="00AB61B9" w:rsidP="00AB61B9">
            <w:pPr>
              <w:rPr>
                <w:sz w:val="16"/>
              </w:rPr>
            </w:pPr>
            <w:r w:rsidRPr="00AB61B9">
              <w:rPr>
                <w:sz w:val="16"/>
              </w:rPr>
              <w:t>Free Cash Flow/Share</w:t>
            </w:r>
          </w:p>
        </w:tc>
        <w:tc>
          <w:tcPr>
            <w:tcW w:w="619"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6.54</w:t>
            </w:r>
          </w:p>
        </w:tc>
        <w:tc>
          <w:tcPr>
            <w:tcW w:w="591"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5.57</w:t>
            </w:r>
          </w:p>
        </w:tc>
        <w:tc>
          <w:tcPr>
            <w:tcW w:w="590"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4.04</w:t>
            </w:r>
          </w:p>
        </w:tc>
      </w:tr>
    </w:tbl>
    <w:p w:rsidR="00AB61B9" w:rsidRDefault="00AB61B9" w:rsidP="00CD64D3">
      <w:pPr>
        <w:rPr>
          <w:b/>
          <w:sz w:val="18"/>
        </w:rPr>
      </w:pPr>
    </w:p>
    <w:tbl>
      <w:tblPr>
        <w:tblStyle w:val="ListTable4-Accent3"/>
        <w:tblW w:w="2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9"/>
        <w:gridCol w:w="622"/>
        <w:gridCol w:w="592"/>
        <w:gridCol w:w="592"/>
      </w:tblGrid>
      <w:tr w:rsidR="00AB61B9" w:rsidRPr="00AB61B9" w:rsidTr="000B5C3C">
        <w:trPr>
          <w:cnfStyle w:val="100000000000" w:firstRow="1" w:lastRow="0" w:firstColumn="0" w:lastColumn="0" w:oddVBand="0" w:evenVBand="0" w:oddHBand="0"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169" w:type="dxa"/>
            <w:tcBorders>
              <w:top w:val="none" w:sz="0" w:space="0" w:color="auto"/>
              <w:left w:val="none" w:sz="0" w:space="0" w:color="auto"/>
              <w:bottom w:val="none" w:sz="0" w:space="0" w:color="auto"/>
            </w:tcBorders>
          </w:tcPr>
          <w:p w:rsidR="00AB61B9" w:rsidRPr="00AB61B9" w:rsidRDefault="00AB61B9" w:rsidP="00AB61B9">
            <w:pPr>
              <w:rPr>
                <w:b w:val="0"/>
                <w:sz w:val="16"/>
              </w:rPr>
            </w:pPr>
            <w:r w:rsidRPr="00AB61B9">
              <w:rPr>
                <w:sz w:val="16"/>
              </w:rPr>
              <w:t>Financial Health</w:t>
            </w:r>
          </w:p>
        </w:tc>
        <w:tc>
          <w:tcPr>
            <w:tcW w:w="622" w:type="dxa"/>
            <w:tcBorders>
              <w:top w:val="none" w:sz="0" w:space="0" w:color="auto"/>
              <w:bottom w:val="none" w:sz="0" w:space="0" w:color="auto"/>
            </w:tcBorders>
          </w:tcPr>
          <w:p w:rsidR="00AB61B9" w:rsidRPr="00AB61B9" w:rsidRDefault="00AB61B9" w:rsidP="00AB61B9">
            <w:pPr>
              <w:cnfStyle w:val="100000000000" w:firstRow="1" w:lastRow="0" w:firstColumn="0" w:lastColumn="0" w:oddVBand="0" w:evenVBand="0" w:oddHBand="0" w:evenHBand="0" w:firstRowFirstColumn="0" w:firstRowLastColumn="0" w:lastRowFirstColumn="0" w:lastRowLastColumn="0"/>
              <w:rPr>
                <w:b w:val="0"/>
                <w:sz w:val="16"/>
              </w:rPr>
            </w:pPr>
            <w:r w:rsidRPr="00AB61B9">
              <w:rPr>
                <w:sz w:val="16"/>
              </w:rPr>
              <w:t>2022-09</w:t>
            </w:r>
          </w:p>
        </w:tc>
        <w:tc>
          <w:tcPr>
            <w:tcW w:w="592" w:type="dxa"/>
            <w:tcBorders>
              <w:top w:val="none" w:sz="0" w:space="0" w:color="auto"/>
              <w:bottom w:val="none" w:sz="0" w:space="0" w:color="auto"/>
            </w:tcBorders>
          </w:tcPr>
          <w:p w:rsidR="00AB61B9" w:rsidRPr="00AB61B9" w:rsidRDefault="00AB61B9" w:rsidP="00AB61B9">
            <w:pPr>
              <w:cnfStyle w:val="100000000000" w:firstRow="1" w:lastRow="0" w:firstColumn="0" w:lastColumn="0" w:oddVBand="0" w:evenVBand="0" w:oddHBand="0" w:evenHBand="0" w:firstRowFirstColumn="0" w:firstRowLastColumn="0" w:lastRowFirstColumn="0" w:lastRowLastColumn="0"/>
              <w:rPr>
                <w:b w:val="0"/>
                <w:sz w:val="16"/>
              </w:rPr>
            </w:pPr>
            <w:r w:rsidRPr="00AB61B9">
              <w:rPr>
                <w:sz w:val="16"/>
              </w:rPr>
              <w:t>2021-09</w:t>
            </w:r>
          </w:p>
        </w:tc>
        <w:tc>
          <w:tcPr>
            <w:tcW w:w="592" w:type="dxa"/>
            <w:tcBorders>
              <w:top w:val="none" w:sz="0" w:space="0" w:color="auto"/>
              <w:bottom w:val="none" w:sz="0" w:space="0" w:color="auto"/>
              <w:right w:val="none" w:sz="0" w:space="0" w:color="auto"/>
            </w:tcBorders>
          </w:tcPr>
          <w:p w:rsidR="00AB61B9" w:rsidRPr="00AB61B9" w:rsidRDefault="00AB61B9" w:rsidP="00AB61B9">
            <w:pPr>
              <w:cnfStyle w:val="100000000000" w:firstRow="1" w:lastRow="0" w:firstColumn="0" w:lastColumn="0" w:oddVBand="0" w:evenVBand="0" w:oddHBand="0" w:evenHBand="0" w:firstRowFirstColumn="0" w:firstRowLastColumn="0" w:lastRowFirstColumn="0" w:lastRowLastColumn="0"/>
              <w:rPr>
                <w:b w:val="0"/>
                <w:sz w:val="16"/>
              </w:rPr>
            </w:pPr>
            <w:r w:rsidRPr="00AB61B9">
              <w:rPr>
                <w:sz w:val="16"/>
              </w:rPr>
              <w:t>2020-09</w:t>
            </w:r>
          </w:p>
        </w:tc>
      </w:tr>
      <w:tr w:rsidR="00AB61B9" w:rsidRPr="00AB61B9" w:rsidTr="000B5C3C">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1169" w:type="dxa"/>
          </w:tcPr>
          <w:p w:rsidR="00AB61B9" w:rsidRPr="00AB61B9" w:rsidRDefault="00AB61B9" w:rsidP="00AB61B9">
            <w:pPr>
              <w:rPr>
                <w:sz w:val="16"/>
              </w:rPr>
            </w:pPr>
            <w:r w:rsidRPr="00AB61B9">
              <w:rPr>
                <w:sz w:val="16"/>
              </w:rPr>
              <w:t>Quick Ratio</w:t>
            </w:r>
          </w:p>
        </w:tc>
        <w:tc>
          <w:tcPr>
            <w:tcW w:w="622"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0.71</w:t>
            </w:r>
          </w:p>
        </w:tc>
        <w:tc>
          <w:tcPr>
            <w:tcW w:w="592"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0.91</w:t>
            </w:r>
          </w:p>
        </w:tc>
        <w:tc>
          <w:tcPr>
            <w:tcW w:w="592"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1.22</w:t>
            </w:r>
          </w:p>
        </w:tc>
      </w:tr>
      <w:tr w:rsidR="00AB61B9" w:rsidRPr="00AB61B9" w:rsidTr="000B5C3C">
        <w:trPr>
          <w:trHeight w:val="175"/>
        </w:trPr>
        <w:tc>
          <w:tcPr>
            <w:cnfStyle w:val="001000000000" w:firstRow="0" w:lastRow="0" w:firstColumn="1" w:lastColumn="0" w:oddVBand="0" w:evenVBand="0" w:oddHBand="0" w:evenHBand="0" w:firstRowFirstColumn="0" w:firstRowLastColumn="0" w:lastRowFirstColumn="0" w:lastRowLastColumn="0"/>
            <w:tcW w:w="1169" w:type="dxa"/>
          </w:tcPr>
          <w:p w:rsidR="00AB61B9" w:rsidRPr="00AB61B9" w:rsidRDefault="00AB61B9" w:rsidP="00AB61B9">
            <w:pPr>
              <w:rPr>
                <w:sz w:val="16"/>
              </w:rPr>
            </w:pPr>
            <w:r w:rsidRPr="00AB61B9">
              <w:rPr>
                <w:sz w:val="16"/>
              </w:rPr>
              <w:t>Debt/Equity</w:t>
            </w:r>
          </w:p>
        </w:tc>
        <w:tc>
          <w:tcPr>
            <w:tcW w:w="622"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1.95</w:t>
            </w:r>
          </w:p>
        </w:tc>
        <w:tc>
          <w:tcPr>
            <w:tcW w:w="592"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1.73</w:t>
            </w:r>
          </w:p>
        </w:tc>
        <w:tc>
          <w:tcPr>
            <w:tcW w:w="592" w:type="dxa"/>
          </w:tcPr>
          <w:p w:rsidR="00AB61B9" w:rsidRPr="00AB61B9" w:rsidRDefault="00AB61B9" w:rsidP="00AB61B9">
            <w:pPr>
              <w:cnfStyle w:val="000000000000" w:firstRow="0" w:lastRow="0" w:firstColumn="0" w:lastColumn="0" w:oddVBand="0" w:evenVBand="0" w:oddHBand="0" w:evenHBand="0" w:firstRowFirstColumn="0" w:firstRowLastColumn="0" w:lastRowFirstColumn="0" w:lastRowLastColumn="0"/>
              <w:rPr>
                <w:sz w:val="16"/>
              </w:rPr>
            </w:pPr>
            <w:r w:rsidRPr="00AB61B9">
              <w:rPr>
                <w:sz w:val="16"/>
              </w:rPr>
              <w:t>1.51</w:t>
            </w:r>
          </w:p>
        </w:tc>
      </w:tr>
      <w:tr w:rsidR="00AB61B9" w:rsidRPr="00AB61B9" w:rsidTr="000B5C3C">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169" w:type="dxa"/>
          </w:tcPr>
          <w:p w:rsidR="00AB61B9" w:rsidRPr="00AB61B9" w:rsidRDefault="00AB61B9" w:rsidP="00AB61B9">
            <w:pPr>
              <w:rPr>
                <w:sz w:val="16"/>
              </w:rPr>
            </w:pPr>
            <w:r w:rsidRPr="00AB61B9">
              <w:rPr>
                <w:sz w:val="16"/>
              </w:rPr>
              <w:t>Book Value/Share</w:t>
            </w:r>
          </w:p>
        </w:tc>
        <w:tc>
          <w:tcPr>
            <w:tcW w:w="622"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3.64</w:t>
            </w:r>
          </w:p>
        </w:tc>
        <w:tc>
          <w:tcPr>
            <w:tcW w:w="592"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3.91</w:t>
            </w:r>
          </w:p>
        </w:tc>
        <w:tc>
          <w:tcPr>
            <w:tcW w:w="592" w:type="dxa"/>
          </w:tcPr>
          <w:p w:rsidR="00AB61B9" w:rsidRPr="00AB61B9" w:rsidRDefault="00AB61B9" w:rsidP="00AB61B9">
            <w:pPr>
              <w:cnfStyle w:val="000000100000" w:firstRow="0" w:lastRow="0" w:firstColumn="0" w:lastColumn="0" w:oddVBand="0" w:evenVBand="0" w:oddHBand="1" w:evenHBand="0" w:firstRowFirstColumn="0" w:firstRowLastColumn="0" w:lastRowFirstColumn="0" w:lastRowLastColumn="0"/>
              <w:rPr>
                <w:sz w:val="16"/>
              </w:rPr>
            </w:pPr>
            <w:r w:rsidRPr="00AB61B9">
              <w:rPr>
                <w:sz w:val="16"/>
              </w:rPr>
              <w:t>4.26</w:t>
            </w:r>
          </w:p>
        </w:tc>
      </w:tr>
    </w:tbl>
    <w:p w:rsidR="00AB61B9" w:rsidRDefault="00AB61B9" w:rsidP="00CD64D3">
      <w:pPr>
        <w:rPr>
          <w:b/>
          <w:sz w:val="18"/>
        </w:rPr>
      </w:pPr>
    </w:p>
    <w:p w:rsidR="0030333C" w:rsidRDefault="0030333C" w:rsidP="00CD64D3">
      <w:pPr>
        <w:rPr>
          <w:b/>
          <w:sz w:val="18"/>
        </w:rPr>
      </w:pPr>
    </w:p>
    <w:p w:rsidR="00BA7D26" w:rsidRDefault="00BA7D26" w:rsidP="00CD64D3">
      <w:pPr>
        <w:rPr>
          <w:b/>
          <w:sz w:val="18"/>
        </w:rPr>
      </w:pPr>
    </w:p>
    <w:p w:rsidR="00E31027" w:rsidRDefault="00E31027" w:rsidP="00CD64D3">
      <w:pPr>
        <w:rPr>
          <w:b/>
          <w:sz w:val="18"/>
        </w:rPr>
      </w:pPr>
    </w:p>
    <w:p w:rsidR="00B8426C" w:rsidRDefault="00B8426C" w:rsidP="00CD64D3">
      <w:pPr>
        <w:rPr>
          <w:b/>
          <w:sz w:val="18"/>
        </w:rPr>
      </w:pPr>
    </w:p>
    <w:p w:rsidR="00542AC9" w:rsidRDefault="00542AC9" w:rsidP="008C6CC2">
      <w:pPr>
        <w:ind w:left="450" w:right="-210"/>
        <w:rPr>
          <w:b/>
          <w:sz w:val="18"/>
        </w:rPr>
      </w:pPr>
    </w:p>
    <w:tbl>
      <w:tblPr>
        <w:tblStyle w:val="GridTable4-Accent3"/>
        <w:tblpPr w:leftFromText="180" w:rightFromText="180" w:vertAnchor="text" w:horzAnchor="page" w:tblpX="5047" w:tblpY="133"/>
        <w:tblW w:w="5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8"/>
        <w:gridCol w:w="1439"/>
        <w:gridCol w:w="1439"/>
        <w:gridCol w:w="1439"/>
      </w:tblGrid>
      <w:tr w:rsidR="00524A1A" w:rsidTr="005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Borders>
              <w:top w:val="none" w:sz="0" w:space="0" w:color="auto"/>
              <w:left w:val="none" w:sz="0" w:space="0" w:color="auto"/>
              <w:bottom w:val="none" w:sz="0" w:space="0" w:color="auto"/>
              <w:right w:val="none" w:sz="0" w:space="0" w:color="auto"/>
            </w:tcBorders>
          </w:tcPr>
          <w:p w:rsidR="00524A1A" w:rsidRPr="00F627CF" w:rsidRDefault="00524A1A" w:rsidP="00524A1A">
            <w:pPr>
              <w:rPr>
                <w:b w:val="0"/>
                <w:i/>
                <w:sz w:val="16"/>
              </w:rPr>
            </w:pPr>
            <w:r w:rsidRPr="00F627CF">
              <w:rPr>
                <w:b w:val="0"/>
                <w:i/>
                <w:sz w:val="16"/>
              </w:rPr>
              <w:t>Fair Value</w:t>
            </w:r>
          </w:p>
        </w:tc>
        <w:tc>
          <w:tcPr>
            <w:tcW w:w="1439" w:type="dxa"/>
            <w:tcBorders>
              <w:top w:val="none" w:sz="0" w:space="0" w:color="auto"/>
              <w:left w:val="none" w:sz="0" w:space="0" w:color="auto"/>
              <w:bottom w:val="none" w:sz="0" w:space="0" w:color="auto"/>
              <w:right w:val="none" w:sz="0" w:space="0" w:color="auto"/>
            </w:tcBorders>
          </w:tcPr>
          <w:p w:rsidR="00524A1A" w:rsidRPr="00F627CF" w:rsidRDefault="00524A1A" w:rsidP="00524A1A">
            <w:pPr>
              <w:cnfStyle w:val="100000000000" w:firstRow="1" w:lastRow="0" w:firstColumn="0" w:lastColumn="0" w:oddVBand="0" w:evenVBand="0" w:oddHBand="0" w:evenHBand="0" w:firstRowFirstColumn="0" w:firstRowLastColumn="0" w:lastRowFirstColumn="0" w:lastRowLastColumn="0"/>
              <w:rPr>
                <w:b w:val="0"/>
                <w:i/>
                <w:sz w:val="16"/>
              </w:rPr>
            </w:pPr>
            <w:r w:rsidRPr="00F627CF">
              <w:rPr>
                <w:b w:val="0"/>
                <w:i/>
                <w:sz w:val="16"/>
              </w:rPr>
              <w:t>Last Close</w:t>
            </w:r>
          </w:p>
        </w:tc>
        <w:tc>
          <w:tcPr>
            <w:tcW w:w="1439" w:type="dxa"/>
            <w:tcBorders>
              <w:top w:val="none" w:sz="0" w:space="0" w:color="auto"/>
              <w:left w:val="none" w:sz="0" w:space="0" w:color="auto"/>
              <w:bottom w:val="none" w:sz="0" w:space="0" w:color="auto"/>
              <w:right w:val="none" w:sz="0" w:space="0" w:color="auto"/>
            </w:tcBorders>
          </w:tcPr>
          <w:p w:rsidR="00524A1A" w:rsidRPr="00F627CF" w:rsidRDefault="00524A1A" w:rsidP="00524A1A">
            <w:pPr>
              <w:cnfStyle w:val="100000000000" w:firstRow="1" w:lastRow="0" w:firstColumn="0" w:lastColumn="0" w:oddVBand="0" w:evenVBand="0" w:oddHBand="0" w:evenHBand="0" w:firstRowFirstColumn="0" w:firstRowLastColumn="0" w:lastRowFirstColumn="0" w:lastRowLastColumn="0"/>
              <w:rPr>
                <w:b w:val="0"/>
                <w:i/>
                <w:sz w:val="16"/>
              </w:rPr>
            </w:pPr>
            <w:r w:rsidRPr="00F627CF">
              <w:rPr>
                <w:b w:val="0"/>
                <w:i/>
                <w:sz w:val="16"/>
              </w:rPr>
              <w:t>Consider Buy</w:t>
            </w:r>
          </w:p>
        </w:tc>
        <w:tc>
          <w:tcPr>
            <w:tcW w:w="1439" w:type="dxa"/>
            <w:tcBorders>
              <w:top w:val="none" w:sz="0" w:space="0" w:color="auto"/>
              <w:left w:val="none" w:sz="0" w:space="0" w:color="auto"/>
              <w:bottom w:val="none" w:sz="0" w:space="0" w:color="auto"/>
              <w:right w:val="none" w:sz="0" w:space="0" w:color="auto"/>
            </w:tcBorders>
          </w:tcPr>
          <w:p w:rsidR="00524A1A" w:rsidRPr="00F627CF" w:rsidRDefault="00524A1A" w:rsidP="00524A1A">
            <w:pPr>
              <w:cnfStyle w:val="100000000000" w:firstRow="1" w:lastRow="0" w:firstColumn="0" w:lastColumn="0" w:oddVBand="0" w:evenVBand="0" w:oddHBand="0" w:evenHBand="0" w:firstRowFirstColumn="0" w:firstRowLastColumn="0" w:lastRowFirstColumn="0" w:lastRowLastColumn="0"/>
              <w:rPr>
                <w:b w:val="0"/>
                <w:i/>
                <w:sz w:val="16"/>
              </w:rPr>
            </w:pPr>
            <w:r w:rsidRPr="00F627CF">
              <w:rPr>
                <w:b w:val="0"/>
                <w:i/>
                <w:sz w:val="16"/>
              </w:rPr>
              <w:t>Consider Sell</w:t>
            </w:r>
          </w:p>
        </w:tc>
      </w:tr>
      <w:tr w:rsidR="00524A1A" w:rsidTr="00524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8" w:type="dxa"/>
          </w:tcPr>
          <w:p w:rsidR="00524A1A" w:rsidRPr="00810BC6" w:rsidRDefault="00524A1A" w:rsidP="00524A1A">
            <w:pPr>
              <w:rPr>
                <w:i/>
                <w:sz w:val="16"/>
              </w:rPr>
            </w:pPr>
            <w:r w:rsidRPr="00810BC6">
              <w:rPr>
                <w:i/>
                <w:sz w:val="16"/>
              </w:rPr>
              <w:t>50.58</w:t>
            </w:r>
          </w:p>
        </w:tc>
        <w:tc>
          <w:tcPr>
            <w:tcW w:w="1439" w:type="dxa"/>
          </w:tcPr>
          <w:p w:rsidR="00524A1A" w:rsidRPr="00F627CF" w:rsidRDefault="00524A1A" w:rsidP="00524A1A">
            <w:pPr>
              <w:cnfStyle w:val="000000100000" w:firstRow="0" w:lastRow="0" w:firstColumn="0" w:lastColumn="0" w:oddVBand="0" w:evenVBand="0" w:oddHBand="1" w:evenHBand="0" w:firstRowFirstColumn="0" w:firstRowLastColumn="0" w:lastRowFirstColumn="0" w:lastRowLastColumn="0"/>
              <w:rPr>
                <w:b/>
                <w:i/>
                <w:sz w:val="16"/>
              </w:rPr>
            </w:pPr>
            <w:r>
              <w:rPr>
                <w:b/>
                <w:i/>
                <w:sz w:val="16"/>
              </w:rPr>
              <w:t>144.22</w:t>
            </w:r>
          </w:p>
        </w:tc>
        <w:tc>
          <w:tcPr>
            <w:tcW w:w="1439" w:type="dxa"/>
          </w:tcPr>
          <w:p w:rsidR="00524A1A" w:rsidRPr="00F627CF" w:rsidRDefault="00524A1A" w:rsidP="00524A1A">
            <w:pPr>
              <w:cnfStyle w:val="000000100000" w:firstRow="0" w:lastRow="0" w:firstColumn="0" w:lastColumn="0" w:oddVBand="0" w:evenVBand="0" w:oddHBand="1" w:evenHBand="0" w:firstRowFirstColumn="0" w:firstRowLastColumn="0" w:lastRowFirstColumn="0" w:lastRowLastColumn="0"/>
              <w:rPr>
                <w:b/>
                <w:i/>
                <w:sz w:val="16"/>
              </w:rPr>
            </w:pPr>
          </w:p>
        </w:tc>
        <w:tc>
          <w:tcPr>
            <w:tcW w:w="1439" w:type="dxa"/>
          </w:tcPr>
          <w:p w:rsidR="00524A1A" w:rsidRPr="00F627CF" w:rsidRDefault="00524A1A" w:rsidP="00524A1A">
            <w:pPr>
              <w:cnfStyle w:val="000000100000" w:firstRow="0" w:lastRow="0" w:firstColumn="0" w:lastColumn="0" w:oddVBand="0" w:evenVBand="0" w:oddHBand="1" w:evenHBand="0" w:firstRowFirstColumn="0" w:firstRowLastColumn="0" w:lastRowFirstColumn="0" w:lastRowLastColumn="0"/>
              <w:rPr>
                <w:b/>
                <w:i/>
                <w:sz w:val="16"/>
              </w:rPr>
            </w:pPr>
          </w:p>
        </w:tc>
      </w:tr>
    </w:tbl>
    <w:p w:rsidR="008872E9" w:rsidRDefault="008872E9" w:rsidP="00CD64D3">
      <w:pPr>
        <w:rPr>
          <w:b/>
          <w:sz w:val="18"/>
        </w:rPr>
      </w:pPr>
    </w:p>
    <w:p w:rsidR="00446D6D" w:rsidRDefault="00446D6D" w:rsidP="00CD64D3">
      <w:pPr>
        <w:rPr>
          <w:b/>
          <w:sz w:val="18"/>
        </w:rPr>
      </w:pPr>
    </w:p>
    <w:tbl>
      <w:tblPr>
        <w:tblStyle w:val="GridTable4-Accent3"/>
        <w:tblpPr w:leftFromText="180" w:rightFromText="180" w:vertAnchor="text" w:horzAnchor="page" w:tblpX="5081" w:tblpY="32"/>
        <w:tblW w:w="6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170"/>
        <w:gridCol w:w="900"/>
        <w:gridCol w:w="1350"/>
        <w:gridCol w:w="1710"/>
      </w:tblGrid>
      <w:tr w:rsidR="00524A1A" w:rsidRPr="005E3920" w:rsidTr="005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Borders>
              <w:top w:val="none" w:sz="0" w:space="0" w:color="auto"/>
              <w:left w:val="none" w:sz="0" w:space="0" w:color="auto"/>
              <w:bottom w:val="none" w:sz="0" w:space="0" w:color="auto"/>
              <w:right w:val="none" w:sz="0" w:space="0" w:color="auto"/>
            </w:tcBorders>
          </w:tcPr>
          <w:p w:rsidR="00524A1A" w:rsidRPr="002B4327" w:rsidRDefault="00524A1A" w:rsidP="00524A1A">
            <w:pPr>
              <w:ind w:left="-25"/>
              <w:rPr>
                <w:b w:val="0"/>
                <w:i/>
                <w:sz w:val="16"/>
              </w:rPr>
            </w:pPr>
            <w:r w:rsidRPr="002B4327">
              <w:rPr>
                <w:b w:val="0"/>
                <w:i/>
                <w:sz w:val="16"/>
              </w:rPr>
              <w:t>Industry</w:t>
            </w:r>
          </w:p>
        </w:tc>
        <w:tc>
          <w:tcPr>
            <w:tcW w:w="1170" w:type="dxa"/>
            <w:tcBorders>
              <w:top w:val="none" w:sz="0" w:space="0" w:color="auto"/>
              <w:left w:val="none" w:sz="0" w:space="0" w:color="auto"/>
              <w:bottom w:val="none" w:sz="0" w:space="0" w:color="auto"/>
              <w:right w:val="none" w:sz="0" w:space="0" w:color="auto"/>
            </w:tcBorders>
          </w:tcPr>
          <w:p w:rsidR="00524A1A" w:rsidRPr="002B4327" w:rsidRDefault="00524A1A" w:rsidP="00524A1A">
            <w:pPr>
              <w:cnfStyle w:val="100000000000" w:firstRow="1" w:lastRow="0" w:firstColumn="0" w:lastColumn="0" w:oddVBand="0" w:evenVBand="0" w:oddHBand="0" w:evenHBand="0" w:firstRowFirstColumn="0" w:firstRowLastColumn="0" w:lastRowFirstColumn="0" w:lastRowLastColumn="0"/>
              <w:rPr>
                <w:b w:val="0"/>
                <w:i/>
                <w:sz w:val="16"/>
              </w:rPr>
            </w:pPr>
            <w:r w:rsidRPr="002B4327">
              <w:rPr>
                <w:i/>
                <w:sz w:val="16"/>
              </w:rPr>
              <w:t>Business Risk</w:t>
            </w:r>
          </w:p>
        </w:tc>
        <w:tc>
          <w:tcPr>
            <w:tcW w:w="900" w:type="dxa"/>
            <w:tcBorders>
              <w:top w:val="none" w:sz="0" w:space="0" w:color="auto"/>
              <w:left w:val="none" w:sz="0" w:space="0" w:color="auto"/>
              <w:bottom w:val="none" w:sz="0" w:space="0" w:color="auto"/>
              <w:right w:val="none" w:sz="0" w:space="0" w:color="auto"/>
            </w:tcBorders>
          </w:tcPr>
          <w:p w:rsidR="00524A1A" w:rsidRPr="002B4327" w:rsidRDefault="00524A1A" w:rsidP="00524A1A">
            <w:pPr>
              <w:cnfStyle w:val="100000000000" w:firstRow="1" w:lastRow="0" w:firstColumn="0" w:lastColumn="0" w:oddVBand="0" w:evenVBand="0" w:oddHBand="0" w:evenHBand="0" w:firstRowFirstColumn="0" w:firstRowLastColumn="0" w:lastRowFirstColumn="0" w:lastRowLastColumn="0"/>
              <w:rPr>
                <w:b w:val="0"/>
                <w:i/>
                <w:sz w:val="16"/>
              </w:rPr>
            </w:pPr>
            <w:r w:rsidRPr="002B4327">
              <w:rPr>
                <w:b w:val="0"/>
                <w:i/>
                <w:sz w:val="16"/>
              </w:rPr>
              <w:t>Moat Size</w:t>
            </w:r>
          </w:p>
        </w:tc>
        <w:tc>
          <w:tcPr>
            <w:tcW w:w="1350" w:type="dxa"/>
            <w:tcBorders>
              <w:top w:val="none" w:sz="0" w:space="0" w:color="auto"/>
              <w:left w:val="none" w:sz="0" w:space="0" w:color="auto"/>
              <w:bottom w:val="none" w:sz="0" w:space="0" w:color="auto"/>
              <w:right w:val="none" w:sz="0" w:space="0" w:color="auto"/>
            </w:tcBorders>
          </w:tcPr>
          <w:p w:rsidR="00524A1A" w:rsidRPr="002B4327" w:rsidRDefault="00524A1A" w:rsidP="00524A1A">
            <w:pPr>
              <w:cnfStyle w:val="100000000000" w:firstRow="1" w:lastRow="0" w:firstColumn="0" w:lastColumn="0" w:oddVBand="0" w:evenVBand="0" w:oddHBand="0" w:evenHBand="0" w:firstRowFirstColumn="0" w:firstRowLastColumn="0" w:lastRowFirstColumn="0" w:lastRowLastColumn="0"/>
              <w:rPr>
                <w:b w:val="0"/>
                <w:i/>
                <w:sz w:val="16"/>
              </w:rPr>
            </w:pPr>
            <w:r w:rsidRPr="002B4327">
              <w:rPr>
                <w:b w:val="0"/>
                <w:i/>
                <w:sz w:val="16"/>
              </w:rPr>
              <w:t>Investment Style</w:t>
            </w:r>
          </w:p>
        </w:tc>
        <w:tc>
          <w:tcPr>
            <w:tcW w:w="1710" w:type="dxa"/>
            <w:tcBorders>
              <w:top w:val="none" w:sz="0" w:space="0" w:color="auto"/>
              <w:left w:val="none" w:sz="0" w:space="0" w:color="auto"/>
              <w:bottom w:val="none" w:sz="0" w:space="0" w:color="auto"/>
              <w:right w:val="none" w:sz="0" w:space="0" w:color="auto"/>
            </w:tcBorders>
          </w:tcPr>
          <w:p w:rsidR="00524A1A" w:rsidRPr="002B4327" w:rsidRDefault="00524A1A" w:rsidP="00524A1A">
            <w:pPr>
              <w:cnfStyle w:val="100000000000" w:firstRow="1" w:lastRow="0" w:firstColumn="0" w:lastColumn="0" w:oddVBand="0" w:evenVBand="0" w:oddHBand="0" w:evenHBand="0" w:firstRowFirstColumn="0" w:firstRowLastColumn="0" w:lastRowFirstColumn="0" w:lastRowLastColumn="0"/>
              <w:rPr>
                <w:b w:val="0"/>
                <w:i/>
                <w:sz w:val="16"/>
              </w:rPr>
            </w:pPr>
            <w:r w:rsidRPr="002B4327">
              <w:rPr>
                <w:i/>
                <w:sz w:val="16"/>
              </w:rPr>
              <w:t>Sector</w:t>
            </w:r>
          </w:p>
        </w:tc>
      </w:tr>
      <w:tr w:rsidR="00524A1A" w:rsidRPr="005E3920" w:rsidTr="00524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rsidR="00524A1A" w:rsidRPr="002B4327" w:rsidRDefault="00524A1A" w:rsidP="00524A1A">
            <w:pPr>
              <w:rPr>
                <w:sz w:val="16"/>
              </w:rPr>
            </w:pPr>
            <w:r>
              <w:rPr>
                <w:sz w:val="16"/>
              </w:rPr>
              <w:t>Consumer Electronics</w:t>
            </w:r>
          </w:p>
        </w:tc>
        <w:tc>
          <w:tcPr>
            <w:tcW w:w="1170" w:type="dxa"/>
          </w:tcPr>
          <w:p w:rsidR="00524A1A" w:rsidRPr="002B4327" w:rsidRDefault="00524A1A" w:rsidP="00524A1A">
            <w:pPr>
              <w:cnfStyle w:val="000000100000" w:firstRow="0" w:lastRow="0" w:firstColumn="0" w:lastColumn="0" w:oddVBand="0" w:evenVBand="0" w:oddHBand="1" w:evenHBand="0" w:firstRowFirstColumn="0" w:firstRowLastColumn="0" w:lastRowFirstColumn="0" w:lastRowLastColumn="0"/>
              <w:rPr>
                <w:sz w:val="16"/>
              </w:rPr>
            </w:pPr>
          </w:p>
        </w:tc>
        <w:tc>
          <w:tcPr>
            <w:tcW w:w="900" w:type="dxa"/>
          </w:tcPr>
          <w:p w:rsidR="00524A1A" w:rsidRPr="002B4327" w:rsidRDefault="00524A1A" w:rsidP="00524A1A">
            <w:pPr>
              <w:cnfStyle w:val="000000100000" w:firstRow="0" w:lastRow="0" w:firstColumn="0" w:lastColumn="0" w:oddVBand="0" w:evenVBand="0" w:oddHBand="1" w:evenHBand="0" w:firstRowFirstColumn="0" w:firstRowLastColumn="0" w:lastRowFirstColumn="0" w:lastRowLastColumn="0"/>
              <w:rPr>
                <w:sz w:val="16"/>
              </w:rPr>
            </w:pPr>
          </w:p>
        </w:tc>
        <w:tc>
          <w:tcPr>
            <w:tcW w:w="1350" w:type="dxa"/>
          </w:tcPr>
          <w:p w:rsidR="00524A1A" w:rsidRPr="002B4327" w:rsidRDefault="00524A1A" w:rsidP="00524A1A">
            <w:pPr>
              <w:cnfStyle w:val="000000100000" w:firstRow="0" w:lastRow="0" w:firstColumn="0" w:lastColumn="0" w:oddVBand="0" w:evenVBand="0" w:oddHBand="1" w:evenHBand="0" w:firstRowFirstColumn="0" w:firstRowLastColumn="0" w:lastRowFirstColumn="0" w:lastRowLastColumn="0"/>
              <w:rPr>
                <w:sz w:val="16"/>
              </w:rPr>
            </w:pPr>
            <w:r>
              <w:rPr>
                <w:sz w:val="16"/>
              </w:rPr>
              <w:t>Large Growth</w:t>
            </w:r>
          </w:p>
        </w:tc>
        <w:tc>
          <w:tcPr>
            <w:tcW w:w="1710" w:type="dxa"/>
          </w:tcPr>
          <w:p w:rsidR="00524A1A" w:rsidRPr="002B4327" w:rsidRDefault="00524A1A" w:rsidP="00524A1A">
            <w:pPr>
              <w:cnfStyle w:val="000000100000" w:firstRow="0" w:lastRow="0" w:firstColumn="0" w:lastColumn="0" w:oddVBand="0" w:evenVBand="0" w:oddHBand="1" w:evenHBand="0" w:firstRowFirstColumn="0" w:firstRowLastColumn="0" w:lastRowFirstColumn="0" w:lastRowLastColumn="0"/>
              <w:rPr>
                <w:sz w:val="16"/>
              </w:rPr>
            </w:pPr>
            <w:r>
              <w:rPr>
                <w:sz w:val="16"/>
              </w:rPr>
              <w:t>Hardware &amp; Software</w:t>
            </w:r>
          </w:p>
        </w:tc>
      </w:tr>
    </w:tbl>
    <w:p w:rsidR="007B09AA" w:rsidRDefault="007B09AA" w:rsidP="00CD64D3">
      <w:pPr>
        <w:rPr>
          <w:b/>
          <w:sz w:val="18"/>
        </w:rPr>
      </w:pPr>
    </w:p>
    <w:tbl>
      <w:tblPr>
        <w:tblStyle w:val="ListTable4-Accent3"/>
        <w:tblpPr w:leftFromText="180" w:rightFromText="180" w:vertAnchor="text" w:horzAnchor="page" w:tblpX="5081" w:tblpY="325"/>
        <w:tblW w:w="8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6"/>
        <w:gridCol w:w="1089"/>
        <w:gridCol w:w="749"/>
        <w:gridCol w:w="691"/>
        <w:gridCol w:w="1028"/>
        <w:gridCol w:w="1042"/>
        <w:gridCol w:w="990"/>
        <w:gridCol w:w="1350"/>
      </w:tblGrid>
      <w:tr w:rsidR="00524A1A" w:rsidRPr="007D1B3F" w:rsidTr="00524A1A">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066" w:type="dxa"/>
            <w:tcBorders>
              <w:top w:val="none" w:sz="0" w:space="0" w:color="auto"/>
              <w:left w:val="none" w:sz="0" w:space="0" w:color="auto"/>
              <w:bottom w:val="none" w:sz="0" w:space="0" w:color="auto"/>
            </w:tcBorders>
            <w:noWrap/>
            <w:hideMark/>
          </w:tcPr>
          <w:p w:rsidR="00524A1A" w:rsidRPr="007D1B3F" w:rsidRDefault="00C8042C" w:rsidP="00524A1A">
            <w:pPr>
              <w:rPr>
                <w:sz w:val="16"/>
              </w:rPr>
            </w:pPr>
            <w:r>
              <w:rPr>
                <w:sz w:val="16"/>
              </w:rPr>
              <w:t>Stocks</w:t>
            </w:r>
          </w:p>
        </w:tc>
        <w:tc>
          <w:tcPr>
            <w:tcW w:w="1089" w:type="dxa"/>
            <w:tcBorders>
              <w:top w:val="none" w:sz="0" w:space="0" w:color="auto"/>
              <w:bottom w:val="none" w:sz="0" w:space="0" w:color="auto"/>
            </w:tcBorders>
            <w:noWrap/>
            <w:hideMark/>
          </w:tcPr>
          <w:p w:rsidR="00524A1A" w:rsidRPr="007D1B3F" w:rsidRDefault="00524A1A" w:rsidP="00524A1A">
            <w:pPr>
              <w:cnfStyle w:val="100000000000" w:firstRow="1" w:lastRow="0" w:firstColumn="0" w:lastColumn="0" w:oddVBand="0" w:evenVBand="0" w:oddHBand="0" w:evenHBand="0" w:firstRowFirstColumn="0" w:firstRowLastColumn="0" w:lastRowFirstColumn="0" w:lastRowLastColumn="0"/>
              <w:rPr>
                <w:b w:val="0"/>
                <w:bCs w:val="0"/>
                <w:sz w:val="16"/>
              </w:rPr>
            </w:pPr>
            <w:r w:rsidRPr="007D1B3F">
              <w:rPr>
                <w:sz w:val="16"/>
              </w:rPr>
              <w:t>M Cap ($mil)</w:t>
            </w:r>
          </w:p>
        </w:tc>
        <w:tc>
          <w:tcPr>
            <w:tcW w:w="749" w:type="dxa"/>
            <w:tcBorders>
              <w:top w:val="none" w:sz="0" w:space="0" w:color="auto"/>
              <w:bottom w:val="none" w:sz="0" w:space="0" w:color="auto"/>
            </w:tcBorders>
            <w:noWrap/>
            <w:hideMark/>
          </w:tcPr>
          <w:p w:rsidR="00524A1A" w:rsidRPr="007D1B3F" w:rsidRDefault="00524A1A" w:rsidP="00524A1A">
            <w:pPr>
              <w:cnfStyle w:val="100000000000" w:firstRow="1" w:lastRow="0" w:firstColumn="0" w:lastColumn="0" w:oddVBand="0" w:evenVBand="0" w:oddHBand="0" w:evenHBand="0" w:firstRowFirstColumn="0" w:firstRowLastColumn="0" w:lastRowFirstColumn="0" w:lastRowLastColumn="0"/>
              <w:rPr>
                <w:b w:val="0"/>
                <w:bCs w:val="0"/>
                <w:sz w:val="16"/>
              </w:rPr>
            </w:pPr>
            <w:r w:rsidRPr="007D1B3F">
              <w:rPr>
                <w:sz w:val="16"/>
              </w:rPr>
              <w:t>Price/</w:t>
            </w:r>
            <w:proofErr w:type="spellStart"/>
            <w:r w:rsidRPr="007D1B3F">
              <w:rPr>
                <w:sz w:val="16"/>
              </w:rPr>
              <w:t>C</w:t>
            </w:r>
            <w:r>
              <w:rPr>
                <w:sz w:val="16"/>
              </w:rPr>
              <w:t>f</w:t>
            </w:r>
            <w:proofErr w:type="spellEnd"/>
          </w:p>
        </w:tc>
        <w:tc>
          <w:tcPr>
            <w:tcW w:w="691" w:type="dxa"/>
            <w:tcBorders>
              <w:top w:val="none" w:sz="0" w:space="0" w:color="auto"/>
              <w:bottom w:val="none" w:sz="0" w:space="0" w:color="auto"/>
            </w:tcBorders>
            <w:noWrap/>
            <w:hideMark/>
          </w:tcPr>
          <w:p w:rsidR="00524A1A" w:rsidRPr="007D1B3F" w:rsidRDefault="00524A1A" w:rsidP="00524A1A">
            <w:pPr>
              <w:cnfStyle w:val="100000000000" w:firstRow="1" w:lastRow="0" w:firstColumn="0" w:lastColumn="0" w:oddVBand="0" w:evenVBand="0" w:oddHBand="0" w:evenHBand="0" w:firstRowFirstColumn="0" w:firstRowLastColumn="0" w:lastRowFirstColumn="0" w:lastRowLastColumn="0"/>
              <w:rPr>
                <w:b w:val="0"/>
                <w:bCs w:val="0"/>
                <w:sz w:val="16"/>
              </w:rPr>
            </w:pPr>
            <w:r w:rsidRPr="007D1B3F">
              <w:rPr>
                <w:sz w:val="16"/>
              </w:rPr>
              <w:t>ROA %</w:t>
            </w:r>
          </w:p>
        </w:tc>
        <w:tc>
          <w:tcPr>
            <w:tcW w:w="1028" w:type="dxa"/>
            <w:tcBorders>
              <w:top w:val="none" w:sz="0" w:space="0" w:color="auto"/>
              <w:bottom w:val="none" w:sz="0" w:space="0" w:color="auto"/>
            </w:tcBorders>
            <w:noWrap/>
            <w:hideMark/>
          </w:tcPr>
          <w:p w:rsidR="00524A1A" w:rsidRPr="007D1B3F" w:rsidRDefault="00524A1A" w:rsidP="00524A1A">
            <w:pPr>
              <w:cnfStyle w:val="100000000000" w:firstRow="1" w:lastRow="0" w:firstColumn="0" w:lastColumn="0" w:oddVBand="0" w:evenVBand="0" w:oddHBand="0" w:evenHBand="0" w:firstRowFirstColumn="0" w:firstRowLastColumn="0" w:lastRowFirstColumn="0" w:lastRowLastColumn="0"/>
              <w:rPr>
                <w:b w:val="0"/>
                <w:bCs w:val="0"/>
                <w:sz w:val="16"/>
              </w:rPr>
            </w:pPr>
            <w:r w:rsidRPr="007D1B3F">
              <w:rPr>
                <w:sz w:val="16"/>
              </w:rPr>
              <w:t>Debt/Equity</w:t>
            </w:r>
          </w:p>
        </w:tc>
        <w:tc>
          <w:tcPr>
            <w:tcW w:w="1042" w:type="dxa"/>
            <w:tcBorders>
              <w:top w:val="none" w:sz="0" w:space="0" w:color="auto"/>
              <w:bottom w:val="none" w:sz="0" w:space="0" w:color="auto"/>
            </w:tcBorders>
            <w:noWrap/>
            <w:hideMark/>
          </w:tcPr>
          <w:p w:rsidR="00524A1A" w:rsidRPr="007D1B3F" w:rsidRDefault="00524A1A" w:rsidP="00524A1A">
            <w:pPr>
              <w:cnfStyle w:val="100000000000" w:firstRow="1" w:lastRow="0" w:firstColumn="0" w:lastColumn="0" w:oddVBand="0" w:evenVBand="0" w:oddHBand="0" w:evenHBand="0" w:firstRowFirstColumn="0" w:firstRowLastColumn="0" w:lastRowFirstColumn="0" w:lastRowLastColumn="0"/>
              <w:rPr>
                <w:b w:val="0"/>
                <w:bCs w:val="0"/>
                <w:sz w:val="16"/>
              </w:rPr>
            </w:pPr>
            <w:r w:rsidRPr="007D1B3F">
              <w:rPr>
                <w:sz w:val="16"/>
              </w:rPr>
              <w:t xml:space="preserve">1 </w:t>
            </w:r>
            <w:proofErr w:type="spellStart"/>
            <w:r w:rsidRPr="007D1B3F">
              <w:rPr>
                <w:sz w:val="16"/>
              </w:rPr>
              <w:t>yr</w:t>
            </w:r>
            <w:proofErr w:type="spellEnd"/>
            <w:r w:rsidRPr="007D1B3F">
              <w:rPr>
                <w:sz w:val="16"/>
              </w:rPr>
              <w:t xml:space="preserve"> Return</w:t>
            </w:r>
          </w:p>
        </w:tc>
        <w:tc>
          <w:tcPr>
            <w:tcW w:w="990" w:type="dxa"/>
            <w:tcBorders>
              <w:top w:val="none" w:sz="0" w:space="0" w:color="auto"/>
              <w:bottom w:val="none" w:sz="0" w:space="0" w:color="auto"/>
            </w:tcBorders>
            <w:noWrap/>
            <w:hideMark/>
          </w:tcPr>
          <w:p w:rsidR="00524A1A" w:rsidRPr="007D1B3F" w:rsidRDefault="00524A1A" w:rsidP="00524A1A">
            <w:pPr>
              <w:cnfStyle w:val="100000000000" w:firstRow="1" w:lastRow="0" w:firstColumn="0" w:lastColumn="0" w:oddVBand="0" w:evenVBand="0" w:oddHBand="0" w:evenHBand="0" w:firstRowFirstColumn="0" w:firstRowLastColumn="0" w:lastRowFirstColumn="0" w:lastRowLastColumn="0"/>
              <w:rPr>
                <w:b w:val="0"/>
                <w:bCs w:val="0"/>
                <w:sz w:val="16"/>
              </w:rPr>
            </w:pPr>
            <w:r w:rsidRPr="007D1B3F">
              <w:rPr>
                <w:sz w:val="16"/>
              </w:rPr>
              <w:t xml:space="preserve">5 </w:t>
            </w:r>
            <w:proofErr w:type="spellStart"/>
            <w:r w:rsidRPr="007D1B3F">
              <w:rPr>
                <w:sz w:val="16"/>
              </w:rPr>
              <w:t>yr</w:t>
            </w:r>
            <w:proofErr w:type="spellEnd"/>
            <w:r w:rsidRPr="007D1B3F">
              <w:rPr>
                <w:sz w:val="16"/>
              </w:rPr>
              <w:t xml:space="preserve"> Return</w:t>
            </w:r>
          </w:p>
        </w:tc>
        <w:tc>
          <w:tcPr>
            <w:tcW w:w="1350" w:type="dxa"/>
            <w:tcBorders>
              <w:top w:val="none" w:sz="0" w:space="0" w:color="auto"/>
              <w:bottom w:val="none" w:sz="0" w:space="0" w:color="auto"/>
              <w:right w:val="none" w:sz="0" w:space="0" w:color="auto"/>
            </w:tcBorders>
            <w:noWrap/>
            <w:hideMark/>
          </w:tcPr>
          <w:p w:rsidR="00524A1A" w:rsidRPr="007D1B3F" w:rsidRDefault="00524A1A" w:rsidP="00524A1A">
            <w:pPr>
              <w:cnfStyle w:val="100000000000" w:firstRow="1" w:lastRow="0" w:firstColumn="0" w:lastColumn="0" w:oddVBand="0" w:evenVBand="0" w:oddHBand="0" w:evenHBand="0" w:firstRowFirstColumn="0" w:firstRowLastColumn="0" w:lastRowFirstColumn="0" w:lastRowLastColumn="0"/>
              <w:rPr>
                <w:b w:val="0"/>
                <w:bCs w:val="0"/>
                <w:i/>
                <w:iCs/>
                <w:sz w:val="16"/>
              </w:rPr>
            </w:pPr>
            <w:r w:rsidRPr="007D1B3F">
              <w:rPr>
                <w:i/>
                <w:iCs/>
                <w:sz w:val="16"/>
              </w:rPr>
              <w:t>Year Range</w:t>
            </w:r>
          </w:p>
        </w:tc>
      </w:tr>
      <w:tr w:rsidR="00524A1A" w:rsidRPr="007D1B3F" w:rsidTr="00524A1A">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066" w:type="dxa"/>
            <w:noWrap/>
            <w:hideMark/>
          </w:tcPr>
          <w:p w:rsidR="00524A1A" w:rsidRPr="007D1B3F" w:rsidRDefault="00524A1A" w:rsidP="00524A1A">
            <w:pPr>
              <w:rPr>
                <w:b w:val="0"/>
                <w:bCs w:val="0"/>
                <w:sz w:val="16"/>
              </w:rPr>
            </w:pPr>
            <w:r w:rsidRPr="007D1B3F">
              <w:rPr>
                <w:sz w:val="16"/>
              </w:rPr>
              <w:t>Apple Inc.</w:t>
            </w:r>
          </w:p>
        </w:tc>
        <w:tc>
          <w:tcPr>
            <w:tcW w:w="1089"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229,430</w:t>
            </w:r>
          </w:p>
        </w:tc>
        <w:tc>
          <w:tcPr>
            <w:tcW w:w="749"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19.80</w:t>
            </w:r>
          </w:p>
        </w:tc>
        <w:tc>
          <w:tcPr>
            <w:tcW w:w="691"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28.36</w:t>
            </w:r>
          </w:p>
        </w:tc>
        <w:tc>
          <w:tcPr>
            <w:tcW w:w="1028"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2.37</w:t>
            </w:r>
          </w:p>
        </w:tc>
        <w:tc>
          <w:tcPr>
            <w:tcW w:w="1042"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-8.54%</w:t>
            </w:r>
          </w:p>
        </w:tc>
        <w:tc>
          <w:tcPr>
            <w:tcW w:w="990"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250.47%</w:t>
            </w:r>
          </w:p>
        </w:tc>
        <w:tc>
          <w:tcPr>
            <w:tcW w:w="1350"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129.04 – 182.13</w:t>
            </w:r>
          </w:p>
        </w:tc>
      </w:tr>
      <w:tr w:rsidR="00524A1A" w:rsidRPr="007D1B3F" w:rsidTr="00524A1A">
        <w:trPr>
          <w:trHeight w:val="152"/>
        </w:trPr>
        <w:tc>
          <w:tcPr>
            <w:cnfStyle w:val="001000000000" w:firstRow="0" w:lastRow="0" w:firstColumn="1" w:lastColumn="0" w:oddVBand="0" w:evenVBand="0" w:oddHBand="0" w:evenHBand="0" w:firstRowFirstColumn="0" w:firstRowLastColumn="0" w:lastRowFirstColumn="0" w:lastRowLastColumn="0"/>
            <w:tcW w:w="1066" w:type="dxa"/>
            <w:noWrap/>
            <w:hideMark/>
          </w:tcPr>
          <w:p w:rsidR="00524A1A" w:rsidRPr="007D1B3F" w:rsidRDefault="00524A1A" w:rsidP="00524A1A">
            <w:pPr>
              <w:rPr>
                <w:b w:val="0"/>
                <w:bCs w:val="0"/>
                <w:sz w:val="16"/>
              </w:rPr>
            </w:pPr>
            <w:r w:rsidRPr="007D1B3F">
              <w:rPr>
                <w:sz w:val="16"/>
              </w:rPr>
              <w:t>GOOGL</w:t>
            </w:r>
          </w:p>
        </w:tc>
        <w:tc>
          <w:tcPr>
            <w:tcW w:w="1089"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124,320</w:t>
            </w:r>
          </w:p>
        </w:tc>
        <w:tc>
          <w:tcPr>
            <w:tcW w:w="749"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13.76</w:t>
            </w:r>
          </w:p>
        </w:tc>
        <w:tc>
          <w:tcPr>
            <w:tcW w:w="691"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18.99</w:t>
            </w:r>
          </w:p>
        </w:tc>
        <w:tc>
          <w:tcPr>
            <w:tcW w:w="1028"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0.11</w:t>
            </w:r>
          </w:p>
        </w:tc>
        <w:tc>
          <w:tcPr>
            <w:tcW w:w="1042"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-33.30%</w:t>
            </w:r>
          </w:p>
        </w:tc>
        <w:tc>
          <w:tcPr>
            <w:tcW w:w="990"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88.69%</w:t>
            </w:r>
          </w:p>
        </w:tc>
        <w:tc>
          <w:tcPr>
            <w:tcW w:w="1350"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83.34 – 151.55</w:t>
            </w:r>
          </w:p>
        </w:tc>
      </w:tr>
      <w:tr w:rsidR="00524A1A" w:rsidRPr="007D1B3F" w:rsidTr="00524A1A">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1066" w:type="dxa"/>
            <w:noWrap/>
            <w:hideMark/>
          </w:tcPr>
          <w:p w:rsidR="00524A1A" w:rsidRPr="007D1B3F" w:rsidRDefault="00524A1A" w:rsidP="00524A1A">
            <w:pPr>
              <w:rPr>
                <w:b w:val="0"/>
                <w:bCs w:val="0"/>
                <w:sz w:val="16"/>
              </w:rPr>
            </w:pPr>
            <w:r w:rsidRPr="007D1B3F">
              <w:rPr>
                <w:sz w:val="16"/>
              </w:rPr>
              <w:t>HPQ</w:t>
            </w:r>
          </w:p>
        </w:tc>
        <w:tc>
          <w:tcPr>
            <w:tcW w:w="1089"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29,384</w:t>
            </w:r>
          </w:p>
        </w:tc>
        <w:tc>
          <w:tcPr>
            <w:tcW w:w="749"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6.87</w:t>
            </w:r>
          </w:p>
        </w:tc>
        <w:tc>
          <w:tcPr>
            <w:tcW w:w="691"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8.3</w:t>
            </w:r>
          </w:p>
        </w:tc>
        <w:tc>
          <w:tcPr>
            <w:tcW w:w="1028"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w:t>
            </w:r>
          </w:p>
        </w:tc>
        <w:tc>
          <w:tcPr>
            <w:tcW w:w="1042"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-15.60%</w:t>
            </w:r>
          </w:p>
        </w:tc>
        <w:tc>
          <w:tcPr>
            <w:tcW w:w="990"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39.91%</w:t>
            </w:r>
          </w:p>
        </w:tc>
        <w:tc>
          <w:tcPr>
            <w:tcW w:w="1350" w:type="dxa"/>
            <w:noWrap/>
            <w:hideMark/>
          </w:tcPr>
          <w:p w:rsidR="00524A1A" w:rsidRPr="007D1B3F" w:rsidRDefault="00524A1A" w:rsidP="00524A1A">
            <w:pPr>
              <w:jc w:val="center"/>
              <w:cnfStyle w:val="000000100000" w:firstRow="0" w:lastRow="0" w:firstColumn="0" w:lastColumn="0" w:oddVBand="0" w:evenVBand="0" w:oddHBand="1" w:evenHBand="0" w:firstRowFirstColumn="0" w:firstRowLastColumn="0" w:lastRowFirstColumn="0" w:lastRowLastColumn="0"/>
              <w:rPr>
                <w:sz w:val="16"/>
              </w:rPr>
            </w:pPr>
            <w:r w:rsidRPr="007D1B3F">
              <w:rPr>
                <w:sz w:val="16"/>
              </w:rPr>
              <w:t>24.08 – 41.47</w:t>
            </w:r>
          </w:p>
        </w:tc>
      </w:tr>
      <w:tr w:rsidR="00524A1A" w:rsidRPr="007D1B3F" w:rsidTr="00524A1A">
        <w:trPr>
          <w:trHeight w:val="161"/>
        </w:trPr>
        <w:tc>
          <w:tcPr>
            <w:cnfStyle w:val="001000000000" w:firstRow="0" w:lastRow="0" w:firstColumn="1" w:lastColumn="0" w:oddVBand="0" w:evenVBand="0" w:oddHBand="0" w:evenHBand="0" w:firstRowFirstColumn="0" w:firstRowLastColumn="0" w:lastRowFirstColumn="0" w:lastRowLastColumn="0"/>
            <w:tcW w:w="1066" w:type="dxa"/>
            <w:noWrap/>
            <w:hideMark/>
          </w:tcPr>
          <w:p w:rsidR="00524A1A" w:rsidRPr="007D1B3F" w:rsidRDefault="00524A1A" w:rsidP="00524A1A">
            <w:pPr>
              <w:rPr>
                <w:sz w:val="16"/>
              </w:rPr>
            </w:pPr>
            <w:r w:rsidRPr="007D1B3F">
              <w:rPr>
                <w:sz w:val="16"/>
              </w:rPr>
              <w:t>MSFT</w:t>
            </w:r>
          </w:p>
        </w:tc>
        <w:tc>
          <w:tcPr>
            <w:tcW w:w="1089"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180,220</w:t>
            </w:r>
          </w:p>
        </w:tc>
        <w:tc>
          <w:tcPr>
            <w:tcW w:w="749"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20.75</w:t>
            </w:r>
          </w:p>
        </w:tc>
        <w:tc>
          <w:tcPr>
            <w:tcW w:w="691"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20.08</w:t>
            </w:r>
          </w:p>
        </w:tc>
        <w:tc>
          <w:tcPr>
            <w:tcW w:w="1028"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0.35</w:t>
            </w:r>
          </w:p>
        </w:tc>
        <w:tc>
          <w:tcPr>
            <w:tcW w:w="1042"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-26.76%</w:t>
            </w:r>
          </w:p>
        </w:tc>
        <w:tc>
          <w:tcPr>
            <w:tcW w:w="990"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197.54%</w:t>
            </w:r>
          </w:p>
        </w:tc>
        <w:tc>
          <w:tcPr>
            <w:tcW w:w="1350" w:type="dxa"/>
            <w:noWrap/>
            <w:hideMark/>
          </w:tcPr>
          <w:p w:rsidR="00524A1A" w:rsidRPr="007D1B3F" w:rsidRDefault="00524A1A" w:rsidP="00524A1A">
            <w:pPr>
              <w:jc w:val="center"/>
              <w:cnfStyle w:val="000000000000" w:firstRow="0" w:lastRow="0" w:firstColumn="0" w:lastColumn="0" w:oddVBand="0" w:evenVBand="0" w:oddHBand="0" w:evenHBand="0" w:firstRowFirstColumn="0" w:firstRowLastColumn="0" w:lastRowFirstColumn="0" w:lastRowLastColumn="0"/>
              <w:rPr>
                <w:sz w:val="16"/>
              </w:rPr>
            </w:pPr>
            <w:r w:rsidRPr="007D1B3F">
              <w:rPr>
                <w:sz w:val="16"/>
              </w:rPr>
              <w:t>213.43 – 344.30</w:t>
            </w:r>
          </w:p>
        </w:tc>
      </w:tr>
    </w:tbl>
    <w:p w:rsidR="00F627CF" w:rsidRDefault="00F627CF" w:rsidP="00CD64D3">
      <w:pPr>
        <w:rPr>
          <w:b/>
          <w:sz w:val="18"/>
        </w:rPr>
      </w:pPr>
      <w:r>
        <w:rPr>
          <w:b/>
          <w:sz w:val="18"/>
        </w:rPr>
        <w:t xml:space="preserve">  </w:t>
      </w:r>
    </w:p>
    <w:p w:rsidR="007B09AA" w:rsidRDefault="007B09AA" w:rsidP="00CD64D3">
      <w:pPr>
        <w:rPr>
          <w:b/>
          <w:sz w:val="18"/>
        </w:rPr>
      </w:pPr>
    </w:p>
    <w:p w:rsidR="000F3A5D" w:rsidRDefault="000F3A5D" w:rsidP="00CD64D3">
      <w:pPr>
        <w:rPr>
          <w:b/>
          <w:sz w:val="18"/>
        </w:rPr>
      </w:pPr>
    </w:p>
    <w:p w:rsidR="008872E9" w:rsidRDefault="008872E9" w:rsidP="00CD64D3">
      <w:pPr>
        <w:rPr>
          <w:b/>
          <w:sz w:val="18"/>
        </w:rPr>
      </w:pPr>
    </w:p>
    <w:p w:rsidR="00691679" w:rsidRDefault="00FA1059" w:rsidP="00CD64D3">
      <w:pPr>
        <w:rPr>
          <w:sz w:val="18"/>
        </w:rPr>
      </w:pPr>
      <w:r>
        <w:rPr>
          <w:noProof/>
        </w:rPr>
        <w:drawing>
          <wp:anchor distT="0" distB="0" distL="114300" distR="114300" simplePos="0" relativeHeight="251667456" behindDoc="1" locked="0" layoutInCell="1" allowOverlap="1" wp14:anchorId="1357FB92">
            <wp:simplePos x="0" y="0"/>
            <wp:positionH relativeFrom="column">
              <wp:posOffset>818185</wp:posOffset>
            </wp:positionH>
            <wp:positionV relativeFrom="paragraph">
              <wp:posOffset>76835</wp:posOffset>
            </wp:positionV>
            <wp:extent cx="5347335" cy="1213485"/>
            <wp:effectExtent l="0" t="0" r="5715" b="5715"/>
            <wp:wrapTight wrapText="bothSides">
              <wp:wrapPolygon edited="0">
                <wp:start x="0" y="0"/>
                <wp:lineTo x="0" y="21363"/>
                <wp:lineTo x="21546" y="21363"/>
                <wp:lineTo x="2154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47335" cy="1213485"/>
                    </a:xfrm>
                    <a:prstGeom prst="rect">
                      <a:avLst/>
                    </a:prstGeom>
                  </pic:spPr>
                </pic:pic>
              </a:graphicData>
            </a:graphic>
            <wp14:sizeRelH relativeFrom="margin">
              <wp14:pctWidth>0</wp14:pctWidth>
            </wp14:sizeRelH>
          </wp:anchor>
        </w:drawing>
      </w: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tbl>
      <w:tblPr>
        <w:tblStyle w:val="ListTable4-Accent3"/>
        <w:tblpPr w:leftFromText="180" w:rightFromText="180" w:vertAnchor="page" w:horzAnchor="margin" w:tblpXSpec="center" w:tblpY="7017"/>
        <w:tblW w:w="3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24"/>
        <w:gridCol w:w="656"/>
        <w:gridCol w:w="751"/>
        <w:gridCol w:w="805"/>
      </w:tblGrid>
      <w:tr w:rsidR="00524A1A" w:rsidRPr="00B8426C" w:rsidTr="00524A1A">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624" w:type="dxa"/>
            <w:tcBorders>
              <w:top w:val="none" w:sz="0" w:space="0" w:color="auto"/>
              <w:left w:val="none" w:sz="0" w:space="0" w:color="auto"/>
              <w:bottom w:val="none" w:sz="0" w:space="0" w:color="auto"/>
            </w:tcBorders>
          </w:tcPr>
          <w:p w:rsidR="00524A1A" w:rsidRPr="00B8426C" w:rsidRDefault="00524A1A" w:rsidP="00524A1A">
            <w:pPr>
              <w:rPr>
                <w:b w:val="0"/>
                <w:sz w:val="16"/>
              </w:rPr>
            </w:pPr>
            <w:r w:rsidRPr="00B8426C">
              <w:rPr>
                <w:sz w:val="16"/>
              </w:rPr>
              <w:t>Valuation Ratios</w:t>
            </w:r>
          </w:p>
        </w:tc>
        <w:tc>
          <w:tcPr>
            <w:tcW w:w="656" w:type="dxa"/>
            <w:tcBorders>
              <w:top w:val="none" w:sz="0" w:space="0" w:color="auto"/>
              <w:bottom w:val="none" w:sz="0" w:space="0" w:color="auto"/>
            </w:tcBorders>
          </w:tcPr>
          <w:p w:rsidR="00524A1A" w:rsidRPr="00B8426C" w:rsidRDefault="00524A1A" w:rsidP="00524A1A">
            <w:pPr>
              <w:cnfStyle w:val="100000000000" w:firstRow="1" w:lastRow="0" w:firstColumn="0" w:lastColumn="0" w:oddVBand="0" w:evenVBand="0" w:oddHBand="0" w:evenHBand="0" w:firstRowFirstColumn="0" w:firstRowLastColumn="0" w:lastRowFirstColumn="0" w:lastRowLastColumn="0"/>
              <w:rPr>
                <w:b w:val="0"/>
                <w:sz w:val="16"/>
              </w:rPr>
            </w:pPr>
            <w:r w:rsidRPr="00B8426C">
              <w:rPr>
                <w:sz w:val="16"/>
              </w:rPr>
              <w:t>2022</w:t>
            </w:r>
          </w:p>
        </w:tc>
        <w:tc>
          <w:tcPr>
            <w:tcW w:w="751" w:type="dxa"/>
            <w:tcBorders>
              <w:top w:val="none" w:sz="0" w:space="0" w:color="auto"/>
              <w:bottom w:val="none" w:sz="0" w:space="0" w:color="auto"/>
            </w:tcBorders>
          </w:tcPr>
          <w:p w:rsidR="00524A1A" w:rsidRPr="00B8426C" w:rsidRDefault="00524A1A" w:rsidP="00524A1A">
            <w:pPr>
              <w:cnfStyle w:val="100000000000" w:firstRow="1" w:lastRow="0" w:firstColumn="0" w:lastColumn="0" w:oddVBand="0" w:evenVBand="0" w:oddHBand="0" w:evenHBand="0" w:firstRowFirstColumn="0" w:firstRowLastColumn="0" w:lastRowFirstColumn="0" w:lastRowLastColumn="0"/>
              <w:rPr>
                <w:b w:val="0"/>
                <w:sz w:val="16"/>
              </w:rPr>
            </w:pPr>
            <w:r w:rsidRPr="00B8426C">
              <w:rPr>
                <w:sz w:val="16"/>
              </w:rPr>
              <w:t>2021</w:t>
            </w:r>
          </w:p>
        </w:tc>
        <w:tc>
          <w:tcPr>
            <w:tcW w:w="805" w:type="dxa"/>
            <w:tcBorders>
              <w:top w:val="none" w:sz="0" w:space="0" w:color="auto"/>
              <w:bottom w:val="none" w:sz="0" w:space="0" w:color="auto"/>
              <w:right w:val="none" w:sz="0" w:space="0" w:color="auto"/>
            </w:tcBorders>
          </w:tcPr>
          <w:p w:rsidR="00524A1A" w:rsidRPr="00B8426C" w:rsidRDefault="00524A1A" w:rsidP="00524A1A">
            <w:pPr>
              <w:cnfStyle w:val="100000000000" w:firstRow="1" w:lastRow="0" w:firstColumn="0" w:lastColumn="0" w:oddVBand="0" w:evenVBand="0" w:oddHBand="0" w:evenHBand="0" w:firstRowFirstColumn="0" w:firstRowLastColumn="0" w:lastRowFirstColumn="0" w:lastRowLastColumn="0"/>
              <w:rPr>
                <w:b w:val="0"/>
                <w:sz w:val="16"/>
              </w:rPr>
            </w:pPr>
            <w:r w:rsidRPr="00B8426C">
              <w:rPr>
                <w:sz w:val="16"/>
              </w:rPr>
              <w:t>2020</w:t>
            </w:r>
          </w:p>
        </w:tc>
      </w:tr>
      <w:tr w:rsidR="00524A1A" w:rsidRPr="00B8426C" w:rsidTr="00524A1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624" w:type="dxa"/>
          </w:tcPr>
          <w:p w:rsidR="00524A1A" w:rsidRPr="00B8426C" w:rsidRDefault="00524A1A" w:rsidP="00524A1A">
            <w:pPr>
              <w:rPr>
                <w:sz w:val="16"/>
              </w:rPr>
            </w:pPr>
            <w:r w:rsidRPr="00B8426C">
              <w:rPr>
                <w:sz w:val="16"/>
              </w:rPr>
              <w:t>Price/Sales</w:t>
            </w:r>
          </w:p>
        </w:tc>
        <w:tc>
          <w:tcPr>
            <w:tcW w:w="656" w:type="dxa"/>
          </w:tcPr>
          <w:p w:rsidR="00524A1A" w:rsidRPr="00B8426C"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B8426C">
              <w:rPr>
                <w:sz w:val="16"/>
              </w:rPr>
              <w:t>6.26</w:t>
            </w:r>
          </w:p>
        </w:tc>
        <w:tc>
          <w:tcPr>
            <w:tcW w:w="751" w:type="dxa"/>
          </w:tcPr>
          <w:p w:rsidR="00524A1A" w:rsidRPr="00B8426C"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B8426C">
              <w:rPr>
                <w:sz w:val="16"/>
              </w:rPr>
              <w:t>8.19</w:t>
            </w:r>
          </w:p>
        </w:tc>
        <w:tc>
          <w:tcPr>
            <w:tcW w:w="805" w:type="dxa"/>
          </w:tcPr>
          <w:p w:rsidR="00524A1A" w:rsidRPr="00B8426C"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B8426C">
              <w:rPr>
                <w:sz w:val="16"/>
              </w:rPr>
              <w:t>8.47</w:t>
            </w:r>
          </w:p>
        </w:tc>
      </w:tr>
      <w:tr w:rsidR="00524A1A" w:rsidRPr="00B8426C" w:rsidTr="00524A1A">
        <w:trPr>
          <w:trHeight w:val="230"/>
        </w:trPr>
        <w:tc>
          <w:tcPr>
            <w:cnfStyle w:val="001000000000" w:firstRow="0" w:lastRow="0" w:firstColumn="1" w:lastColumn="0" w:oddVBand="0" w:evenVBand="0" w:oddHBand="0" w:evenHBand="0" w:firstRowFirstColumn="0" w:firstRowLastColumn="0" w:lastRowFirstColumn="0" w:lastRowLastColumn="0"/>
            <w:tcW w:w="1624" w:type="dxa"/>
          </w:tcPr>
          <w:p w:rsidR="00524A1A" w:rsidRPr="00B8426C" w:rsidRDefault="00524A1A" w:rsidP="00524A1A">
            <w:pPr>
              <w:rPr>
                <w:sz w:val="16"/>
              </w:rPr>
            </w:pPr>
            <w:r w:rsidRPr="00B8426C">
              <w:rPr>
                <w:sz w:val="16"/>
              </w:rPr>
              <w:t>Price/Book</w:t>
            </w:r>
          </w:p>
        </w:tc>
        <w:tc>
          <w:tcPr>
            <w:tcW w:w="656" w:type="dxa"/>
          </w:tcPr>
          <w:p w:rsidR="00524A1A" w:rsidRPr="00B8426C"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B8426C">
              <w:rPr>
                <w:sz w:val="16"/>
              </w:rPr>
              <w:t>47.5</w:t>
            </w:r>
          </w:p>
        </w:tc>
        <w:tc>
          <w:tcPr>
            <w:tcW w:w="751" w:type="dxa"/>
          </w:tcPr>
          <w:p w:rsidR="00524A1A" w:rsidRPr="00B8426C"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B8426C">
              <w:rPr>
                <w:sz w:val="16"/>
              </w:rPr>
              <w:t>45.99</w:t>
            </w:r>
          </w:p>
        </w:tc>
        <w:tc>
          <w:tcPr>
            <w:tcW w:w="805" w:type="dxa"/>
          </w:tcPr>
          <w:p w:rsidR="00524A1A" w:rsidRPr="00B8426C"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B8426C">
              <w:rPr>
                <w:sz w:val="16"/>
              </w:rPr>
              <w:t>34.16</w:t>
            </w:r>
          </w:p>
        </w:tc>
      </w:tr>
      <w:tr w:rsidR="00524A1A" w:rsidRPr="00B8426C" w:rsidTr="00524A1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624" w:type="dxa"/>
          </w:tcPr>
          <w:p w:rsidR="00524A1A" w:rsidRPr="00B8426C" w:rsidRDefault="00524A1A" w:rsidP="00524A1A">
            <w:pPr>
              <w:rPr>
                <w:sz w:val="16"/>
              </w:rPr>
            </w:pPr>
            <w:r w:rsidRPr="00B8426C">
              <w:rPr>
                <w:sz w:val="16"/>
              </w:rPr>
              <w:t>Price/Cash Flow</w:t>
            </w:r>
          </w:p>
        </w:tc>
        <w:tc>
          <w:tcPr>
            <w:tcW w:w="656" w:type="dxa"/>
          </w:tcPr>
          <w:p w:rsidR="00524A1A" w:rsidRPr="00B8426C"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B8426C">
              <w:rPr>
                <w:sz w:val="16"/>
              </w:rPr>
              <w:t>20.22</w:t>
            </w:r>
          </w:p>
        </w:tc>
        <w:tc>
          <w:tcPr>
            <w:tcW w:w="751" w:type="dxa"/>
          </w:tcPr>
          <w:p w:rsidR="00524A1A" w:rsidRPr="00B8426C"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B8426C">
              <w:rPr>
                <w:sz w:val="16"/>
              </w:rPr>
              <w:t>28.78</w:t>
            </w:r>
          </w:p>
        </w:tc>
        <w:tc>
          <w:tcPr>
            <w:tcW w:w="805" w:type="dxa"/>
          </w:tcPr>
          <w:p w:rsidR="00524A1A" w:rsidRPr="00B8426C"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B8426C">
              <w:rPr>
                <w:sz w:val="16"/>
              </w:rPr>
              <w:t>28.83</w:t>
            </w:r>
          </w:p>
        </w:tc>
      </w:tr>
      <w:tr w:rsidR="00524A1A" w:rsidRPr="00B8426C" w:rsidTr="00524A1A">
        <w:trPr>
          <w:trHeight w:val="246"/>
        </w:trPr>
        <w:tc>
          <w:tcPr>
            <w:cnfStyle w:val="001000000000" w:firstRow="0" w:lastRow="0" w:firstColumn="1" w:lastColumn="0" w:oddVBand="0" w:evenVBand="0" w:oddHBand="0" w:evenHBand="0" w:firstRowFirstColumn="0" w:firstRowLastColumn="0" w:lastRowFirstColumn="0" w:lastRowLastColumn="0"/>
            <w:tcW w:w="1624" w:type="dxa"/>
          </w:tcPr>
          <w:p w:rsidR="00524A1A" w:rsidRPr="00B8426C" w:rsidRDefault="00524A1A" w:rsidP="00524A1A">
            <w:pPr>
              <w:rPr>
                <w:sz w:val="16"/>
              </w:rPr>
            </w:pPr>
            <w:r w:rsidRPr="00B8426C">
              <w:rPr>
                <w:sz w:val="16"/>
              </w:rPr>
              <w:t>Price/Earnings</w:t>
            </w:r>
          </w:p>
        </w:tc>
        <w:tc>
          <w:tcPr>
            <w:tcW w:w="656" w:type="dxa"/>
          </w:tcPr>
          <w:p w:rsidR="00524A1A" w:rsidRPr="00B8426C"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B8426C">
              <w:rPr>
                <w:sz w:val="16"/>
              </w:rPr>
              <w:t>24.76</w:t>
            </w:r>
          </w:p>
        </w:tc>
        <w:tc>
          <w:tcPr>
            <w:tcW w:w="751" w:type="dxa"/>
          </w:tcPr>
          <w:p w:rsidR="00524A1A" w:rsidRPr="00B8426C"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B8426C">
              <w:rPr>
                <w:sz w:val="16"/>
              </w:rPr>
              <w:t>31.65</w:t>
            </w:r>
          </w:p>
        </w:tc>
        <w:tc>
          <w:tcPr>
            <w:tcW w:w="805" w:type="dxa"/>
          </w:tcPr>
          <w:p w:rsidR="00524A1A" w:rsidRPr="00B8426C"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B8426C">
              <w:rPr>
                <w:sz w:val="16"/>
              </w:rPr>
              <w:t>40.45</w:t>
            </w:r>
          </w:p>
        </w:tc>
      </w:tr>
      <w:tr w:rsidR="00524A1A" w:rsidRPr="00B8426C" w:rsidTr="00524A1A">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624" w:type="dxa"/>
          </w:tcPr>
          <w:p w:rsidR="00524A1A" w:rsidRPr="00B8426C" w:rsidRDefault="00524A1A" w:rsidP="00524A1A">
            <w:pPr>
              <w:rPr>
                <w:sz w:val="16"/>
              </w:rPr>
            </w:pPr>
            <w:r w:rsidRPr="00B8426C">
              <w:rPr>
                <w:sz w:val="16"/>
              </w:rPr>
              <w:t>PEG Ratio</w:t>
            </w:r>
          </w:p>
        </w:tc>
        <w:tc>
          <w:tcPr>
            <w:tcW w:w="656" w:type="dxa"/>
          </w:tcPr>
          <w:p w:rsidR="00524A1A" w:rsidRPr="00B8426C"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B8426C">
              <w:rPr>
                <w:sz w:val="16"/>
              </w:rPr>
              <w:t>2.93</w:t>
            </w:r>
          </w:p>
        </w:tc>
        <w:tc>
          <w:tcPr>
            <w:tcW w:w="751" w:type="dxa"/>
          </w:tcPr>
          <w:p w:rsidR="00524A1A" w:rsidRPr="00B8426C"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B8426C">
              <w:rPr>
                <w:sz w:val="16"/>
              </w:rPr>
              <w:t>3.79</w:t>
            </w:r>
          </w:p>
        </w:tc>
        <w:tc>
          <w:tcPr>
            <w:tcW w:w="805" w:type="dxa"/>
          </w:tcPr>
          <w:p w:rsidR="00524A1A" w:rsidRPr="00B8426C"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B8426C">
              <w:rPr>
                <w:sz w:val="16"/>
              </w:rPr>
              <w:t>3.33</w:t>
            </w:r>
          </w:p>
        </w:tc>
      </w:tr>
      <w:tr w:rsidR="00524A1A" w:rsidRPr="00B8426C" w:rsidTr="00524A1A">
        <w:trPr>
          <w:trHeight w:val="246"/>
        </w:trPr>
        <w:tc>
          <w:tcPr>
            <w:cnfStyle w:val="001000000000" w:firstRow="0" w:lastRow="0" w:firstColumn="1" w:lastColumn="0" w:oddVBand="0" w:evenVBand="0" w:oddHBand="0" w:evenHBand="0" w:firstRowFirstColumn="0" w:firstRowLastColumn="0" w:lastRowFirstColumn="0" w:lastRowLastColumn="0"/>
            <w:tcW w:w="1624" w:type="dxa"/>
          </w:tcPr>
          <w:p w:rsidR="00524A1A" w:rsidRPr="00B8426C" w:rsidRDefault="00524A1A" w:rsidP="00524A1A">
            <w:pPr>
              <w:rPr>
                <w:sz w:val="16"/>
              </w:rPr>
            </w:pPr>
            <w:proofErr w:type="spellStart"/>
            <w:r>
              <w:rPr>
                <w:sz w:val="16"/>
              </w:rPr>
              <w:t>EntVl</w:t>
            </w:r>
            <w:proofErr w:type="spellEnd"/>
            <w:r>
              <w:rPr>
                <w:sz w:val="16"/>
              </w:rPr>
              <w:t>/EBITDA</w:t>
            </w:r>
          </w:p>
        </w:tc>
        <w:tc>
          <w:tcPr>
            <w:tcW w:w="656" w:type="dxa"/>
          </w:tcPr>
          <w:p w:rsidR="00524A1A" w:rsidRPr="00B8426C"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B8426C">
              <w:rPr>
                <w:sz w:val="16"/>
              </w:rPr>
              <w:t>2022</w:t>
            </w:r>
          </w:p>
        </w:tc>
        <w:tc>
          <w:tcPr>
            <w:tcW w:w="751" w:type="dxa"/>
          </w:tcPr>
          <w:p w:rsidR="00524A1A" w:rsidRPr="00B8426C"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B8426C">
              <w:rPr>
                <w:sz w:val="16"/>
              </w:rPr>
              <w:t>2021</w:t>
            </w:r>
          </w:p>
        </w:tc>
        <w:tc>
          <w:tcPr>
            <w:tcW w:w="805" w:type="dxa"/>
          </w:tcPr>
          <w:p w:rsidR="00524A1A" w:rsidRPr="00B8426C"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B8426C">
              <w:rPr>
                <w:sz w:val="16"/>
              </w:rPr>
              <w:t>2020</w:t>
            </w:r>
          </w:p>
        </w:tc>
      </w:tr>
    </w:tbl>
    <w:tbl>
      <w:tblPr>
        <w:tblStyle w:val="ListTable4-Accent3"/>
        <w:tblpPr w:leftFromText="180" w:rightFromText="180" w:vertAnchor="text" w:horzAnchor="margin" w:tblpXSpec="right" w:tblpY="18"/>
        <w:tblW w:w="4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74"/>
        <w:gridCol w:w="1006"/>
        <w:gridCol w:w="990"/>
      </w:tblGrid>
      <w:tr w:rsidR="00524A1A" w:rsidRPr="008C6CC2" w:rsidTr="00524A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Borders>
              <w:top w:val="none" w:sz="0" w:space="0" w:color="auto"/>
              <w:left w:val="none" w:sz="0" w:space="0" w:color="auto"/>
              <w:bottom w:val="none" w:sz="0" w:space="0" w:color="auto"/>
            </w:tcBorders>
          </w:tcPr>
          <w:p w:rsidR="00524A1A" w:rsidRPr="008C6CC2" w:rsidRDefault="00524A1A" w:rsidP="00524A1A">
            <w:pPr>
              <w:rPr>
                <w:b w:val="0"/>
                <w:sz w:val="16"/>
              </w:rPr>
            </w:pPr>
            <w:r w:rsidRPr="008C6CC2">
              <w:rPr>
                <w:sz w:val="16"/>
              </w:rPr>
              <w:t>Funds</w:t>
            </w:r>
          </w:p>
        </w:tc>
        <w:tc>
          <w:tcPr>
            <w:tcW w:w="974" w:type="dxa"/>
            <w:tcBorders>
              <w:top w:val="none" w:sz="0" w:space="0" w:color="auto"/>
              <w:bottom w:val="none" w:sz="0" w:space="0" w:color="auto"/>
            </w:tcBorders>
          </w:tcPr>
          <w:p w:rsidR="00524A1A" w:rsidRPr="008C6CC2" w:rsidRDefault="00524A1A" w:rsidP="00524A1A">
            <w:pPr>
              <w:cnfStyle w:val="100000000000" w:firstRow="1" w:lastRow="0" w:firstColumn="0" w:lastColumn="0" w:oddVBand="0" w:evenVBand="0" w:oddHBand="0" w:evenHBand="0" w:firstRowFirstColumn="0" w:firstRowLastColumn="0" w:lastRowFirstColumn="0" w:lastRowLastColumn="0"/>
              <w:rPr>
                <w:b w:val="0"/>
                <w:sz w:val="16"/>
              </w:rPr>
            </w:pPr>
            <w:r w:rsidRPr="008C6CC2">
              <w:rPr>
                <w:sz w:val="16"/>
              </w:rPr>
              <w:t>% Total shares held</w:t>
            </w:r>
          </w:p>
        </w:tc>
        <w:tc>
          <w:tcPr>
            <w:tcW w:w="1006" w:type="dxa"/>
            <w:tcBorders>
              <w:top w:val="none" w:sz="0" w:space="0" w:color="auto"/>
              <w:bottom w:val="none" w:sz="0" w:space="0" w:color="auto"/>
            </w:tcBorders>
          </w:tcPr>
          <w:p w:rsidR="00524A1A" w:rsidRPr="008C6CC2" w:rsidRDefault="00524A1A" w:rsidP="00524A1A">
            <w:pPr>
              <w:cnfStyle w:val="100000000000" w:firstRow="1" w:lastRow="0" w:firstColumn="0" w:lastColumn="0" w:oddVBand="0" w:evenVBand="0" w:oddHBand="0" w:evenHBand="0" w:firstRowFirstColumn="0" w:firstRowLastColumn="0" w:lastRowFirstColumn="0" w:lastRowLastColumn="0"/>
              <w:rPr>
                <w:b w:val="0"/>
                <w:sz w:val="16"/>
              </w:rPr>
            </w:pPr>
            <w:r w:rsidRPr="008C6CC2">
              <w:rPr>
                <w:sz w:val="16"/>
              </w:rPr>
              <w:t>Institutions</w:t>
            </w:r>
          </w:p>
        </w:tc>
        <w:tc>
          <w:tcPr>
            <w:tcW w:w="990" w:type="dxa"/>
            <w:tcBorders>
              <w:top w:val="none" w:sz="0" w:space="0" w:color="auto"/>
              <w:bottom w:val="none" w:sz="0" w:space="0" w:color="auto"/>
              <w:right w:val="none" w:sz="0" w:space="0" w:color="auto"/>
            </w:tcBorders>
          </w:tcPr>
          <w:p w:rsidR="00524A1A" w:rsidRPr="008C6CC2" w:rsidRDefault="00524A1A" w:rsidP="00524A1A">
            <w:pPr>
              <w:cnfStyle w:val="100000000000" w:firstRow="1" w:lastRow="0" w:firstColumn="0" w:lastColumn="0" w:oddVBand="0" w:evenVBand="0" w:oddHBand="0" w:evenHBand="0" w:firstRowFirstColumn="0" w:firstRowLastColumn="0" w:lastRowFirstColumn="0" w:lastRowLastColumn="0"/>
              <w:rPr>
                <w:b w:val="0"/>
                <w:sz w:val="16"/>
              </w:rPr>
            </w:pPr>
            <w:r w:rsidRPr="008C6CC2">
              <w:rPr>
                <w:sz w:val="16"/>
              </w:rPr>
              <w:t>% Total shares held</w:t>
            </w:r>
          </w:p>
        </w:tc>
      </w:tr>
      <w:tr w:rsidR="00524A1A" w:rsidRPr="008C6CC2" w:rsidTr="00524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524A1A" w:rsidRPr="008C6CC2" w:rsidRDefault="00524A1A" w:rsidP="00524A1A">
            <w:pPr>
              <w:rPr>
                <w:sz w:val="16"/>
              </w:rPr>
            </w:pPr>
            <w:r w:rsidRPr="008C6CC2">
              <w:rPr>
                <w:sz w:val="16"/>
              </w:rPr>
              <w:t xml:space="preserve">Vanguard Total Stock Mkt </w:t>
            </w:r>
            <w:proofErr w:type="spellStart"/>
            <w:r w:rsidRPr="008C6CC2">
              <w:rPr>
                <w:sz w:val="16"/>
              </w:rPr>
              <w:t>Idx</w:t>
            </w:r>
            <w:proofErr w:type="spellEnd"/>
            <w:r w:rsidRPr="008C6CC2">
              <w:rPr>
                <w:sz w:val="16"/>
              </w:rPr>
              <w:t xml:space="preserve"> Inv</w:t>
            </w:r>
          </w:p>
        </w:tc>
        <w:tc>
          <w:tcPr>
            <w:tcW w:w="974" w:type="dxa"/>
          </w:tcPr>
          <w:p w:rsidR="00524A1A" w:rsidRPr="008C6CC2"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8C6CC2">
              <w:rPr>
                <w:sz w:val="16"/>
              </w:rPr>
              <w:t>2.88</w:t>
            </w:r>
          </w:p>
        </w:tc>
        <w:tc>
          <w:tcPr>
            <w:tcW w:w="1006" w:type="dxa"/>
          </w:tcPr>
          <w:p w:rsidR="00524A1A" w:rsidRPr="008C6CC2"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8C6CC2">
              <w:rPr>
                <w:sz w:val="16"/>
              </w:rPr>
              <w:t>Vanguard Group Inc</w:t>
            </w:r>
          </w:p>
        </w:tc>
        <w:tc>
          <w:tcPr>
            <w:tcW w:w="990" w:type="dxa"/>
          </w:tcPr>
          <w:p w:rsidR="00524A1A" w:rsidRPr="008C6CC2"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8C6CC2">
              <w:rPr>
                <w:sz w:val="16"/>
              </w:rPr>
              <w:t>8.03</w:t>
            </w:r>
          </w:p>
        </w:tc>
      </w:tr>
      <w:tr w:rsidR="00524A1A" w:rsidRPr="008C6CC2" w:rsidTr="00524A1A">
        <w:tc>
          <w:tcPr>
            <w:cnfStyle w:val="001000000000" w:firstRow="0" w:lastRow="0" w:firstColumn="1" w:lastColumn="0" w:oddVBand="0" w:evenVBand="0" w:oddHBand="0" w:evenHBand="0" w:firstRowFirstColumn="0" w:firstRowLastColumn="0" w:lastRowFirstColumn="0" w:lastRowLastColumn="0"/>
            <w:tcW w:w="1435" w:type="dxa"/>
          </w:tcPr>
          <w:p w:rsidR="00524A1A" w:rsidRPr="008C6CC2" w:rsidRDefault="00524A1A" w:rsidP="00524A1A">
            <w:pPr>
              <w:rPr>
                <w:sz w:val="16"/>
              </w:rPr>
            </w:pPr>
            <w:r w:rsidRPr="008C6CC2">
              <w:rPr>
                <w:sz w:val="16"/>
              </w:rPr>
              <w:t xml:space="preserve">Vanguard </w:t>
            </w:r>
            <w:proofErr w:type="spellStart"/>
            <w:r w:rsidRPr="008C6CC2">
              <w:rPr>
                <w:sz w:val="16"/>
              </w:rPr>
              <w:t>Instl</w:t>
            </w:r>
            <w:proofErr w:type="spellEnd"/>
            <w:r w:rsidRPr="008C6CC2">
              <w:rPr>
                <w:sz w:val="16"/>
              </w:rPr>
              <w:t xml:space="preserve"> </w:t>
            </w:r>
            <w:proofErr w:type="spellStart"/>
            <w:r w:rsidRPr="008C6CC2">
              <w:rPr>
                <w:sz w:val="16"/>
              </w:rPr>
              <w:t>Ttl</w:t>
            </w:r>
            <w:proofErr w:type="spellEnd"/>
            <w:r w:rsidRPr="008C6CC2">
              <w:rPr>
                <w:sz w:val="16"/>
              </w:rPr>
              <w:t xml:space="preserve"> </w:t>
            </w:r>
            <w:proofErr w:type="spellStart"/>
            <w:r w:rsidRPr="008C6CC2">
              <w:rPr>
                <w:sz w:val="16"/>
              </w:rPr>
              <w:t>Stck</w:t>
            </w:r>
            <w:proofErr w:type="spellEnd"/>
            <w:r w:rsidRPr="008C6CC2">
              <w:rPr>
                <w:sz w:val="16"/>
              </w:rPr>
              <w:t xml:space="preserve"> Mkt </w:t>
            </w:r>
            <w:proofErr w:type="spellStart"/>
            <w:r w:rsidRPr="008C6CC2">
              <w:rPr>
                <w:sz w:val="16"/>
              </w:rPr>
              <w:t>Idx</w:t>
            </w:r>
            <w:proofErr w:type="spellEnd"/>
            <w:r w:rsidRPr="008C6CC2">
              <w:rPr>
                <w:sz w:val="16"/>
              </w:rPr>
              <w:t xml:space="preserve"> Tr</w:t>
            </w:r>
          </w:p>
        </w:tc>
        <w:tc>
          <w:tcPr>
            <w:tcW w:w="974" w:type="dxa"/>
          </w:tcPr>
          <w:p w:rsidR="00524A1A" w:rsidRPr="008C6CC2"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8C6CC2">
              <w:rPr>
                <w:sz w:val="16"/>
              </w:rPr>
              <w:t>2.87</w:t>
            </w:r>
          </w:p>
        </w:tc>
        <w:tc>
          <w:tcPr>
            <w:tcW w:w="1006" w:type="dxa"/>
          </w:tcPr>
          <w:p w:rsidR="00524A1A" w:rsidRPr="008C6CC2"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8C6CC2">
              <w:rPr>
                <w:sz w:val="16"/>
              </w:rPr>
              <w:t>Berkshire Hathaway Inc</w:t>
            </w:r>
          </w:p>
        </w:tc>
        <w:tc>
          <w:tcPr>
            <w:tcW w:w="990" w:type="dxa"/>
          </w:tcPr>
          <w:p w:rsidR="00524A1A" w:rsidRPr="008C6CC2" w:rsidRDefault="00524A1A" w:rsidP="00524A1A">
            <w:pPr>
              <w:cnfStyle w:val="000000000000" w:firstRow="0" w:lastRow="0" w:firstColumn="0" w:lastColumn="0" w:oddVBand="0" w:evenVBand="0" w:oddHBand="0" w:evenHBand="0" w:firstRowFirstColumn="0" w:firstRowLastColumn="0" w:lastRowFirstColumn="0" w:lastRowLastColumn="0"/>
              <w:rPr>
                <w:sz w:val="16"/>
              </w:rPr>
            </w:pPr>
            <w:r w:rsidRPr="008C6CC2">
              <w:rPr>
                <w:sz w:val="16"/>
              </w:rPr>
              <w:t>5.62</w:t>
            </w:r>
          </w:p>
        </w:tc>
      </w:tr>
      <w:tr w:rsidR="00524A1A" w:rsidRPr="008C6CC2" w:rsidTr="00524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524A1A" w:rsidRPr="008C6CC2" w:rsidRDefault="00524A1A" w:rsidP="00524A1A">
            <w:pPr>
              <w:rPr>
                <w:sz w:val="16"/>
              </w:rPr>
            </w:pPr>
            <w:r w:rsidRPr="008C6CC2">
              <w:rPr>
                <w:sz w:val="16"/>
              </w:rPr>
              <w:t>Vanguard 500 Index Investor</w:t>
            </w:r>
          </w:p>
        </w:tc>
        <w:tc>
          <w:tcPr>
            <w:tcW w:w="974" w:type="dxa"/>
          </w:tcPr>
          <w:p w:rsidR="00524A1A" w:rsidRPr="008C6CC2"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8C6CC2">
              <w:rPr>
                <w:sz w:val="16"/>
              </w:rPr>
              <w:t>2.17</w:t>
            </w:r>
          </w:p>
        </w:tc>
        <w:tc>
          <w:tcPr>
            <w:tcW w:w="1006" w:type="dxa"/>
          </w:tcPr>
          <w:p w:rsidR="00524A1A" w:rsidRPr="008C6CC2"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8C6CC2">
              <w:rPr>
                <w:sz w:val="16"/>
              </w:rPr>
              <w:t>State Street Corporation</w:t>
            </w:r>
          </w:p>
        </w:tc>
        <w:tc>
          <w:tcPr>
            <w:tcW w:w="990" w:type="dxa"/>
          </w:tcPr>
          <w:p w:rsidR="00524A1A" w:rsidRPr="008C6CC2" w:rsidRDefault="00524A1A" w:rsidP="00524A1A">
            <w:pPr>
              <w:cnfStyle w:val="000000100000" w:firstRow="0" w:lastRow="0" w:firstColumn="0" w:lastColumn="0" w:oddVBand="0" w:evenVBand="0" w:oddHBand="1" w:evenHBand="0" w:firstRowFirstColumn="0" w:firstRowLastColumn="0" w:lastRowFirstColumn="0" w:lastRowLastColumn="0"/>
              <w:rPr>
                <w:sz w:val="16"/>
              </w:rPr>
            </w:pPr>
            <w:r w:rsidRPr="008C6CC2">
              <w:rPr>
                <w:sz w:val="16"/>
              </w:rPr>
              <w:t>3.76</w:t>
            </w:r>
          </w:p>
        </w:tc>
      </w:tr>
    </w:tbl>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105627" w:rsidP="00CD64D3">
      <w:pPr>
        <w:rPr>
          <w:sz w:val="18"/>
        </w:rPr>
      </w:pPr>
      <w:r w:rsidRPr="00524A1A">
        <w:rPr>
          <w:noProof/>
          <w:sz w:val="18"/>
        </w:rPr>
        <mc:AlternateContent>
          <mc:Choice Requires="wps">
            <w:drawing>
              <wp:anchor distT="45720" distB="45720" distL="114300" distR="114300" simplePos="0" relativeHeight="251669504" behindDoc="0" locked="0" layoutInCell="1" allowOverlap="1">
                <wp:simplePos x="0" y="0"/>
                <wp:positionH relativeFrom="column">
                  <wp:posOffset>636905</wp:posOffset>
                </wp:positionH>
                <wp:positionV relativeFrom="paragraph">
                  <wp:posOffset>161290</wp:posOffset>
                </wp:positionV>
                <wp:extent cx="5581015" cy="6188075"/>
                <wp:effectExtent l="0" t="0" r="19685"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6188075"/>
                        </a:xfrm>
                        <a:prstGeom prst="rect">
                          <a:avLst/>
                        </a:prstGeom>
                        <a:solidFill>
                          <a:srgbClr val="FFFFFF"/>
                        </a:solidFill>
                        <a:ln w="9525">
                          <a:solidFill>
                            <a:srgbClr val="000000"/>
                          </a:solidFill>
                          <a:miter lim="800000"/>
                          <a:headEnd/>
                          <a:tailEnd/>
                        </a:ln>
                      </wps:spPr>
                      <wps:txbx>
                        <w:txbxContent>
                          <w:p w:rsidR="00524A1A" w:rsidRPr="00067C51" w:rsidRDefault="00524A1A" w:rsidP="00067C51">
                            <w:pPr>
                              <w:shd w:val="clear" w:color="auto" w:fill="ACCBF9" w:themeFill="background2"/>
                              <w:rPr>
                                <w:b/>
                                <w:color w:val="0E57C4" w:themeColor="background2" w:themeShade="80"/>
                                <w:sz w:val="24"/>
                              </w:rPr>
                            </w:pPr>
                            <w:r w:rsidRPr="00067C51">
                              <w:rPr>
                                <w:b/>
                                <w:color w:val="0E57C4" w:themeColor="background2" w:themeShade="80"/>
                                <w:sz w:val="24"/>
                              </w:rPr>
                              <w:t>Thesis:</w:t>
                            </w:r>
                          </w:p>
                          <w:p w:rsidR="00067C51" w:rsidRPr="00067C51" w:rsidRDefault="00067C51" w:rsidP="00067C51">
                            <w:pPr>
                              <w:shd w:val="clear" w:color="auto" w:fill="ACCBF9" w:themeFill="background2"/>
                              <w:rPr>
                                <w:sz w:val="18"/>
                              </w:rPr>
                            </w:pPr>
                            <w:r w:rsidRPr="00067C51">
                              <w:rPr>
                                <w:sz w:val="18"/>
                              </w:rPr>
                              <w:t>Apple Inc. stands as a preeminent force within the global technology landscape, renowned for its revolutionary products, unwavering commitment to innovation, and steadfast market dominance. This equity report delves into the multifaceted aspects that have propelled Apple to its current position and assesses its potential for sustained growth and value generation for investors.</w:t>
                            </w:r>
                          </w:p>
                          <w:p w:rsidR="00067C51" w:rsidRPr="00067C51" w:rsidRDefault="00067C51" w:rsidP="00067C51">
                            <w:pPr>
                              <w:shd w:val="clear" w:color="auto" w:fill="ACCBF9" w:themeFill="background2"/>
                              <w:rPr>
                                <w:sz w:val="18"/>
                              </w:rPr>
                            </w:pPr>
                            <w:r w:rsidRPr="00067C51">
                              <w:rPr>
                                <w:sz w:val="18"/>
                              </w:rPr>
                              <w:t>Apple's persistent dedication to innovation has been a driving force behind its success. Pioneering products such as the iPhone, iPad, and MacBook have transformed entire industries, redefining the way individuals interact with technology. The company's ecosystem approach, integrating hardware, software, and services, has cultivated unparalleled customer loyalty and elevated Apple to the forefront of consumer preferences.</w:t>
                            </w:r>
                          </w:p>
                          <w:p w:rsidR="00067C51" w:rsidRPr="00067C51" w:rsidRDefault="00067C51" w:rsidP="00067C51">
                            <w:pPr>
                              <w:shd w:val="clear" w:color="auto" w:fill="ACCBF9" w:themeFill="background2"/>
                              <w:rPr>
                                <w:sz w:val="18"/>
                              </w:rPr>
                            </w:pPr>
                            <w:r w:rsidRPr="00067C51">
                              <w:rPr>
                                <w:sz w:val="18"/>
                              </w:rPr>
                              <w:t>While historically recognized for its hardware offerings, Apple has strategically diversified into the services sector. The advent of Apple Music, iCloud, Apple TV+, and the App Store has not only diversified revenue streams but has also deepened customer engagement and retention. This shift has the potential to cushion Apple against the cyclicality inherent in hardware sales.</w:t>
                            </w:r>
                          </w:p>
                          <w:p w:rsidR="00067C51" w:rsidRPr="00067C51" w:rsidRDefault="00067C51" w:rsidP="00067C51">
                            <w:pPr>
                              <w:shd w:val="clear" w:color="auto" w:fill="ACCBF9" w:themeFill="background2"/>
                              <w:rPr>
                                <w:sz w:val="18"/>
                              </w:rPr>
                            </w:pPr>
                            <w:r w:rsidRPr="00067C51">
                              <w:rPr>
                                <w:sz w:val="18"/>
                              </w:rPr>
                              <w:t>Apple's footprint spans across continents, enabling it to capture diverse markets and demographics. With a strong presence in both developed and emerging economies, the company has exhibited resilience to geopolitical tensions and market fluctuations. Such geographical diversification has underpinned its financial stability and growth prospects.</w:t>
                            </w:r>
                          </w:p>
                          <w:p w:rsidR="00067C51" w:rsidRPr="00067C51" w:rsidRDefault="00067C51" w:rsidP="00067C51">
                            <w:pPr>
                              <w:shd w:val="clear" w:color="auto" w:fill="ACCBF9" w:themeFill="background2"/>
                              <w:rPr>
                                <w:sz w:val="18"/>
                              </w:rPr>
                            </w:pPr>
                            <w:r w:rsidRPr="00067C51">
                              <w:rPr>
                                <w:sz w:val="18"/>
                              </w:rPr>
                              <w:t>Apple's financial performance has consistently demonstrated robustness. A track record of strong revenue growth, healthy profit margins, and prudent financial management has positioned the company as a bellwether within the technology sector. Furthermore, its substantial cash reserves provide ample room for strategic investments, acquisitions, and research and development initiatives.</w:t>
                            </w:r>
                          </w:p>
                          <w:p w:rsidR="00067C51" w:rsidRPr="00067C51" w:rsidRDefault="00067C51" w:rsidP="00067C51">
                            <w:pPr>
                              <w:shd w:val="clear" w:color="auto" w:fill="ACCBF9" w:themeFill="background2"/>
                              <w:rPr>
                                <w:sz w:val="18"/>
                              </w:rPr>
                            </w:pPr>
                            <w:r w:rsidRPr="00067C51">
                              <w:rPr>
                                <w:sz w:val="18"/>
                              </w:rPr>
                              <w:t>In recent years, Apple's commitment to environmental sustainability and corporate responsibility has garnered significant attention. By setting ambitious goals for carbon neutrality, responsible sourcing, and supply chain transparency, the company aligns its operations with broader societal concerns, enhancing its brand image and long-term viability.</w:t>
                            </w:r>
                          </w:p>
                          <w:p w:rsidR="00067C51" w:rsidRPr="00067C51" w:rsidRDefault="00067C51" w:rsidP="00067C51">
                            <w:pPr>
                              <w:shd w:val="clear" w:color="auto" w:fill="ACCBF9" w:themeFill="background2"/>
                              <w:rPr>
                                <w:sz w:val="18"/>
                              </w:rPr>
                            </w:pPr>
                            <w:r w:rsidRPr="00067C51">
                              <w:rPr>
                                <w:sz w:val="18"/>
                              </w:rPr>
                              <w:t>While Apple's dominance is undeniable, it is not immune to challenges. Increasing regulatory scrutiny over antitrust concerns, potential saturation in key markets, and the need to continually outpace its own innovations could pose headwinds. Navigating these challenges will demand adept management and a resilient corporate strategy.</w:t>
                            </w:r>
                          </w:p>
                          <w:p w:rsidR="00524A1A" w:rsidRPr="00E113B6" w:rsidRDefault="00067C51" w:rsidP="00067C51">
                            <w:pPr>
                              <w:shd w:val="clear" w:color="auto" w:fill="ACCBF9" w:themeFill="background2"/>
                              <w:rPr>
                                <w:sz w:val="18"/>
                              </w:rPr>
                            </w:pPr>
                            <w:r w:rsidRPr="00067C51">
                              <w:rPr>
                                <w:sz w:val="18"/>
                              </w:rPr>
                              <w:t>Apple's legacy of innovation, global reach, financial stability, and commitment to sustainability position it as a compelling investment opportunity. While challenges exist, the company's proven ability to adapt, evolve, and set industry standards suggests a resilient trajectory forward. As technology continues to shape the modern world, Apple's ability to captivate consumer sentiment and redefine technological landscapes could translate into continued shareholder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0.15pt;margin-top:12.7pt;width:439.45pt;height:487.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">
                <v:textbox>
                  <w:txbxContent>
                    <w:p w:rsidR="00524A1A" w:rsidRPr="00067C51" w:rsidRDefault="00524A1A" w:rsidP="00067C51">
                      <w:pPr>
                        <w:shd w:val="clear" w:color="auto" w:fill="ACCBF9" w:themeFill="background2"/>
                        <w:rPr>
                          <w:b/>
                          <w:color w:val="0E57C4" w:themeColor="background2" w:themeShade="80"/>
                          <w:sz w:val="24"/>
                        </w:rPr>
                      </w:pPr>
                      <w:r w:rsidRPr="00067C51">
                        <w:rPr>
                          <w:b/>
                          <w:color w:val="0E57C4" w:themeColor="background2" w:themeShade="80"/>
                          <w:sz w:val="24"/>
                        </w:rPr>
                        <w:t>Thesis:</w:t>
                      </w:r>
                    </w:p>
                    <w:p w:rsidR="00067C51" w:rsidRPr="00067C51" w:rsidRDefault="00067C51" w:rsidP="00067C51">
                      <w:pPr>
                        <w:shd w:val="clear" w:color="auto" w:fill="ACCBF9" w:themeFill="background2"/>
                        <w:rPr>
                          <w:sz w:val="18"/>
                        </w:rPr>
                      </w:pPr>
                      <w:r w:rsidRPr="00067C51">
                        <w:rPr>
                          <w:sz w:val="18"/>
                        </w:rPr>
                        <w:t>Apple Inc. stands as a preeminent force within the global technology landscape, renowned for its revolutionary products, unwavering commitment to innovation, and steadfast market dominance. This equity report delves into the multifaceted aspects that have propelled Apple to its current position and assesses its potential for sustained growth and value generation for investors.</w:t>
                      </w:r>
                    </w:p>
                    <w:p w:rsidR="00067C51" w:rsidRPr="00067C51" w:rsidRDefault="00067C51" w:rsidP="00067C51">
                      <w:pPr>
                        <w:shd w:val="clear" w:color="auto" w:fill="ACCBF9" w:themeFill="background2"/>
                        <w:rPr>
                          <w:sz w:val="18"/>
                        </w:rPr>
                      </w:pPr>
                      <w:r w:rsidRPr="00067C51">
                        <w:rPr>
                          <w:sz w:val="18"/>
                        </w:rPr>
                        <w:t>Apple's persistent dedication to innovation has been a driving force behind its success. Pioneering products such as the iPhone, iPad, and MacBook have transformed entire industries, redefining the way individuals interact with technology. The company's ecosystem approach, integrating hardware, software, and services, has cultivated unparalleled customer loyalty and elevated Apple to the forefront of consumer preferences.</w:t>
                      </w:r>
                    </w:p>
                    <w:p w:rsidR="00067C51" w:rsidRPr="00067C51" w:rsidRDefault="00067C51" w:rsidP="00067C51">
                      <w:pPr>
                        <w:shd w:val="clear" w:color="auto" w:fill="ACCBF9" w:themeFill="background2"/>
                        <w:rPr>
                          <w:sz w:val="18"/>
                        </w:rPr>
                      </w:pPr>
                      <w:r w:rsidRPr="00067C51">
                        <w:rPr>
                          <w:sz w:val="18"/>
                        </w:rPr>
                        <w:t>While historically recognized for its hardware offerings, Apple has strategically diversified into the services sector. The advent of Apple Music, iCloud, Apple TV+, and the App Store has not only diversified revenue streams but has also deepened customer engagement and retention. This shift has the potential to cushion Apple against the cyclicality inherent in hardware sales.</w:t>
                      </w:r>
                    </w:p>
                    <w:p w:rsidR="00067C51" w:rsidRPr="00067C51" w:rsidRDefault="00067C51" w:rsidP="00067C51">
                      <w:pPr>
                        <w:shd w:val="clear" w:color="auto" w:fill="ACCBF9" w:themeFill="background2"/>
                        <w:rPr>
                          <w:sz w:val="18"/>
                        </w:rPr>
                      </w:pPr>
                      <w:r w:rsidRPr="00067C51">
                        <w:rPr>
                          <w:sz w:val="18"/>
                        </w:rPr>
                        <w:t>Apple's footprint spans across continents, enabling it to capture diverse markets and demographics. With a strong presence in both developed and emerging economies, the company has exhibited resilience to geopolitical tensions and market fluctuations. Such geographical diversification has underpinned its financial stability and growth prospects.</w:t>
                      </w:r>
                    </w:p>
                    <w:p w:rsidR="00067C51" w:rsidRPr="00067C51" w:rsidRDefault="00067C51" w:rsidP="00067C51">
                      <w:pPr>
                        <w:shd w:val="clear" w:color="auto" w:fill="ACCBF9" w:themeFill="background2"/>
                        <w:rPr>
                          <w:sz w:val="18"/>
                        </w:rPr>
                      </w:pPr>
                      <w:r w:rsidRPr="00067C51">
                        <w:rPr>
                          <w:sz w:val="18"/>
                        </w:rPr>
                        <w:t>Apple's financial performance has consistently demonstrated robustness. A track record of strong revenue growth, healthy profit margins, and prudent financial management has positioned the company as a bellwether within the technology sector. Furthermore, its substantial cash reserves provide ample room for strategic investments, acquisitions, and research and development initiatives.</w:t>
                      </w:r>
                    </w:p>
                    <w:p w:rsidR="00067C51" w:rsidRPr="00067C51" w:rsidRDefault="00067C51" w:rsidP="00067C51">
                      <w:pPr>
                        <w:shd w:val="clear" w:color="auto" w:fill="ACCBF9" w:themeFill="background2"/>
                        <w:rPr>
                          <w:sz w:val="18"/>
                        </w:rPr>
                      </w:pPr>
                      <w:r w:rsidRPr="00067C51">
                        <w:rPr>
                          <w:sz w:val="18"/>
                        </w:rPr>
                        <w:t>In recent years, Apple's commitment to environmental sustainability and corporate responsibility has garnered significant attention. By setting ambitious goals for carbon neutrality, responsible sourcing, and supply chain transparency, the company aligns its operations with broader societal concerns, enhancing its brand image and long-term viability.</w:t>
                      </w:r>
                    </w:p>
                    <w:p w:rsidR="00067C51" w:rsidRPr="00067C51" w:rsidRDefault="00067C51" w:rsidP="00067C51">
                      <w:pPr>
                        <w:shd w:val="clear" w:color="auto" w:fill="ACCBF9" w:themeFill="background2"/>
                        <w:rPr>
                          <w:sz w:val="18"/>
                        </w:rPr>
                      </w:pPr>
                      <w:r w:rsidRPr="00067C51">
                        <w:rPr>
                          <w:sz w:val="18"/>
                        </w:rPr>
                        <w:t>While Apple's dominance is undeniable, it is not immune to challenges. Increasing regulatory scrutiny over antitrust concerns, potential saturation in key markets, and the need to continually outpace its own innovations could pose headwinds. Navigating these challenges will demand adept management and a resilient corporate strategy.</w:t>
                      </w:r>
                    </w:p>
                    <w:p w:rsidR="00524A1A" w:rsidRPr="00E113B6" w:rsidRDefault="00067C51" w:rsidP="00067C51">
                      <w:pPr>
                        <w:shd w:val="clear" w:color="auto" w:fill="ACCBF9" w:themeFill="background2"/>
                        <w:rPr>
                          <w:sz w:val="18"/>
                        </w:rPr>
                      </w:pPr>
                      <w:r w:rsidRPr="00067C51">
                        <w:rPr>
                          <w:sz w:val="18"/>
                        </w:rPr>
                        <w:t>Apple's legacy of innovation, global reach, financial stability, and commitment to sustainability position it as a compelling investment opportunity. While challenges exist, the company's proven ability to adapt, evolve, and set industry standards suggests a resilient trajectory forward. As technology continues to shape the modern world, Apple's ability to captivate consumer sentiment and redefine technological landscapes could translate into continued shareholder value.</w:t>
                      </w:r>
                    </w:p>
                  </w:txbxContent>
                </v:textbox>
                <w10:wrap type="square"/>
              </v:shape>
            </w:pict>
          </mc:Fallback>
        </mc:AlternateContent>
      </w: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bookmarkStart w:id="0" w:name="_GoBack"/>
      <w:bookmarkEnd w:id="0"/>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Default="00831B3E" w:rsidP="00CD64D3">
      <w:pPr>
        <w:rPr>
          <w:sz w:val="18"/>
        </w:rPr>
      </w:pPr>
    </w:p>
    <w:p w:rsidR="00831B3E" w:rsidRPr="00691679" w:rsidRDefault="00831B3E" w:rsidP="00CD64D3">
      <w:pPr>
        <w:rPr>
          <w:sz w:val="18"/>
        </w:rPr>
      </w:pPr>
    </w:p>
    <w:sectPr w:rsidR="00831B3E" w:rsidRPr="00691679" w:rsidSect="00524A1A">
      <w:pgSz w:w="14570" w:h="20636" w:code="12"/>
      <w:pgMar w:top="1440" w:right="1080" w:bottom="1440" w:left="360" w:header="720" w:footer="720" w:gutter="0"/>
      <w:cols w:num="2" w:space="720" w:equalWidth="0">
        <w:col w:w="2640" w:space="720"/>
        <w:col w:w="60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1ED7" w:rsidRDefault="00BF1ED7" w:rsidP="008F3632">
      <w:pPr>
        <w:spacing w:after="0" w:line="240" w:lineRule="auto"/>
      </w:pPr>
      <w:r>
        <w:separator/>
      </w:r>
    </w:p>
  </w:endnote>
  <w:endnote w:type="continuationSeparator" w:id="0">
    <w:p w:rsidR="00BF1ED7" w:rsidRDefault="00BF1ED7" w:rsidP="008F3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1ED7" w:rsidRDefault="00BF1ED7" w:rsidP="008F3632">
      <w:pPr>
        <w:spacing w:after="0" w:line="240" w:lineRule="auto"/>
      </w:pPr>
      <w:r>
        <w:separator/>
      </w:r>
    </w:p>
  </w:footnote>
  <w:footnote w:type="continuationSeparator" w:id="0">
    <w:p w:rsidR="00BF1ED7" w:rsidRDefault="00BF1ED7" w:rsidP="008F3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A92051"/>
    <w:multiLevelType w:val="hybridMultilevel"/>
    <w:tmpl w:val="249CFB44"/>
    <w:lvl w:ilvl="0" w:tplc="37D69C06">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E37"/>
    <w:rsid w:val="00067C51"/>
    <w:rsid w:val="000B5C3C"/>
    <w:rsid w:val="000E31E3"/>
    <w:rsid w:val="000E4E43"/>
    <w:rsid w:val="000F3A5D"/>
    <w:rsid w:val="00105627"/>
    <w:rsid w:val="0014799D"/>
    <w:rsid w:val="0017600C"/>
    <w:rsid w:val="00177BAB"/>
    <w:rsid w:val="00184EC3"/>
    <w:rsid w:val="001A37E1"/>
    <w:rsid w:val="002270BF"/>
    <w:rsid w:val="00261467"/>
    <w:rsid w:val="00282B9C"/>
    <w:rsid w:val="002A6AD5"/>
    <w:rsid w:val="002D3DF7"/>
    <w:rsid w:val="0030333C"/>
    <w:rsid w:val="003A73F0"/>
    <w:rsid w:val="004264F7"/>
    <w:rsid w:val="00446D6D"/>
    <w:rsid w:val="00457A05"/>
    <w:rsid w:val="004D1E37"/>
    <w:rsid w:val="00524A1A"/>
    <w:rsid w:val="00535D20"/>
    <w:rsid w:val="00542AC9"/>
    <w:rsid w:val="005549E8"/>
    <w:rsid w:val="00585E1A"/>
    <w:rsid w:val="005861CD"/>
    <w:rsid w:val="005B1EC7"/>
    <w:rsid w:val="005C0F52"/>
    <w:rsid w:val="005D32AA"/>
    <w:rsid w:val="005D4E20"/>
    <w:rsid w:val="005E4B0E"/>
    <w:rsid w:val="0060372E"/>
    <w:rsid w:val="006409D3"/>
    <w:rsid w:val="006627FE"/>
    <w:rsid w:val="00691679"/>
    <w:rsid w:val="0069409A"/>
    <w:rsid w:val="006D6DAF"/>
    <w:rsid w:val="0071004C"/>
    <w:rsid w:val="007B09AA"/>
    <w:rsid w:val="007D1B3F"/>
    <w:rsid w:val="00806937"/>
    <w:rsid w:val="00810BC6"/>
    <w:rsid w:val="00820021"/>
    <w:rsid w:val="00831B3E"/>
    <w:rsid w:val="00852AEE"/>
    <w:rsid w:val="008872E9"/>
    <w:rsid w:val="008A065A"/>
    <w:rsid w:val="008C6CC2"/>
    <w:rsid w:val="008F3632"/>
    <w:rsid w:val="00996AA2"/>
    <w:rsid w:val="009F4A8C"/>
    <w:rsid w:val="00A02B6E"/>
    <w:rsid w:val="00AB61B9"/>
    <w:rsid w:val="00B04D1F"/>
    <w:rsid w:val="00B5241E"/>
    <w:rsid w:val="00B831C0"/>
    <w:rsid w:val="00B8426C"/>
    <w:rsid w:val="00BA7D26"/>
    <w:rsid w:val="00BC0619"/>
    <w:rsid w:val="00BF1ED7"/>
    <w:rsid w:val="00BF1FD2"/>
    <w:rsid w:val="00BF491E"/>
    <w:rsid w:val="00C80425"/>
    <w:rsid w:val="00C8042C"/>
    <w:rsid w:val="00CD64D3"/>
    <w:rsid w:val="00D10504"/>
    <w:rsid w:val="00DF42B9"/>
    <w:rsid w:val="00E113B6"/>
    <w:rsid w:val="00E224F2"/>
    <w:rsid w:val="00E31027"/>
    <w:rsid w:val="00E3292A"/>
    <w:rsid w:val="00EB7929"/>
    <w:rsid w:val="00F627CF"/>
    <w:rsid w:val="00FA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462C1"/>
  <w15:chartTrackingRefBased/>
  <w15:docId w15:val="{B4DC64B7-D042-48D2-A51F-B4D50676A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1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9E8"/>
    <w:pPr>
      <w:ind w:left="720"/>
      <w:contextualSpacing/>
    </w:pPr>
  </w:style>
  <w:style w:type="paragraph" w:styleId="Header">
    <w:name w:val="header"/>
    <w:basedOn w:val="Normal"/>
    <w:link w:val="HeaderChar"/>
    <w:uiPriority w:val="99"/>
    <w:unhideWhenUsed/>
    <w:rsid w:val="008F3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632"/>
  </w:style>
  <w:style w:type="paragraph" w:styleId="Footer">
    <w:name w:val="footer"/>
    <w:basedOn w:val="Normal"/>
    <w:link w:val="FooterChar"/>
    <w:uiPriority w:val="99"/>
    <w:unhideWhenUsed/>
    <w:rsid w:val="008F3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632"/>
  </w:style>
  <w:style w:type="table" w:styleId="GridTable4-Accent3">
    <w:name w:val="Grid Table 4 Accent 3"/>
    <w:basedOn w:val="TableNormal"/>
    <w:uiPriority w:val="49"/>
    <w:rsid w:val="008F3632"/>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insideV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insideV w:val="nil"/>
        </w:tcBorders>
        <w:shd w:val="clear" w:color="auto" w:fill="297FD5" w:themeFill="accent3"/>
      </w:tcPr>
    </w:tblStylePr>
    <w:tblStylePr w:type="lastRow">
      <w:rPr>
        <w:b/>
        <w:bCs/>
      </w:rPr>
      <w:tblPr/>
      <w:tcPr>
        <w:tcBorders>
          <w:top w:val="double" w:sz="4" w:space="0" w:color="297FD5" w:themeColor="accent3"/>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4-Accent3">
    <w:name w:val="List Table 4 Accent 3"/>
    <w:basedOn w:val="TableNormal"/>
    <w:uiPriority w:val="49"/>
    <w:rsid w:val="00996AA2"/>
    <w:pPr>
      <w:spacing w:after="0" w:line="240" w:lineRule="auto"/>
    </w:pPr>
    <w:tblPr>
      <w:tblStyleRowBandSize w:val="1"/>
      <w:tblStyleColBandSize w:val="1"/>
      <w:tblBorders>
        <w:top w:val="single" w:sz="4" w:space="0" w:color="7EB1E6" w:themeColor="accent3" w:themeTint="99"/>
        <w:left w:val="single" w:sz="4" w:space="0" w:color="7EB1E6" w:themeColor="accent3" w:themeTint="99"/>
        <w:bottom w:val="single" w:sz="4" w:space="0" w:color="7EB1E6" w:themeColor="accent3" w:themeTint="99"/>
        <w:right w:val="single" w:sz="4" w:space="0" w:color="7EB1E6" w:themeColor="accent3" w:themeTint="99"/>
        <w:insideH w:val="single" w:sz="4" w:space="0" w:color="7EB1E6" w:themeColor="accent3" w:themeTint="99"/>
      </w:tblBorders>
    </w:tblPr>
    <w:tblStylePr w:type="firstRow">
      <w:rPr>
        <w:b/>
        <w:bCs/>
        <w:color w:val="FFFFFF" w:themeColor="background1"/>
      </w:rPr>
      <w:tblPr/>
      <w:tcPr>
        <w:tcBorders>
          <w:top w:val="single" w:sz="4" w:space="0" w:color="297FD5" w:themeColor="accent3"/>
          <w:left w:val="single" w:sz="4" w:space="0" w:color="297FD5" w:themeColor="accent3"/>
          <w:bottom w:val="single" w:sz="4" w:space="0" w:color="297FD5" w:themeColor="accent3"/>
          <w:right w:val="single" w:sz="4" w:space="0" w:color="297FD5" w:themeColor="accent3"/>
          <w:insideH w:val="nil"/>
        </w:tcBorders>
        <w:shd w:val="clear" w:color="auto" w:fill="297FD5" w:themeFill="accent3"/>
      </w:tcPr>
    </w:tblStylePr>
    <w:tblStylePr w:type="lastRow">
      <w:rPr>
        <w:b/>
        <w:bCs/>
      </w:rPr>
      <w:tblPr/>
      <w:tcPr>
        <w:tcBorders>
          <w:top w:val="double" w:sz="4" w:space="0" w:color="7EB1E6" w:themeColor="accent3" w:themeTint="99"/>
        </w:tcBorders>
      </w:tc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 w:type="table" w:styleId="ListTable2-Accent3">
    <w:name w:val="List Table 2 Accent 3"/>
    <w:basedOn w:val="TableNormal"/>
    <w:uiPriority w:val="47"/>
    <w:rsid w:val="00E3292A"/>
    <w:pPr>
      <w:spacing w:after="0" w:line="240" w:lineRule="auto"/>
    </w:pPr>
    <w:tblPr>
      <w:tblStyleRowBandSize w:val="1"/>
      <w:tblStyleColBandSize w:val="1"/>
      <w:tblBorders>
        <w:top w:val="single" w:sz="4" w:space="0" w:color="7EB1E6" w:themeColor="accent3" w:themeTint="99"/>
        <w:bottom w:val="single" w:sz="4" w:space="0" w:color="7EB1E6" w:themeColor="accent3" w:themeTint="99"/>
        <w:insideH w:val="single" w:sz="4" w:space="0" w:color="7EB1E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E5F6" w:themeFill="accent3" w:themeFillTint="33"/>
      </w:tcPr>
    </w:tblStylePr>
    <w:tblStylePr w:type="band1Horz">
      <w:tblPr/>
      <w:tcPr>
        <w:shd w:val="clear" w:color="auto" w:fill="D3E5F6"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7332">
      <w:bodyDiv w:val="1"/>
      <w:marLeft w:val="0"/>
      <w:marRight w:val="0"/>
      <w:marTop w:val="0"/>
      <w:marBottom w:val="0"/>
      <w:divBdr>
        <w:top w:val="none" w:sz="0" w:space="0" w:color="auto"/>
        <w:left w:val="none" w:sz="0" w:space="0" w:color="auto"/>
        <w:bottom w:val="none" w:sz="0" w:space="0" w:color="auto"/>
        <w:right w:val="none" w:sz="0" w:space="0" w:color="auto"/>
      </w:divBdr>
    </w:div>
    <w:div w:id="333731772">
      <w:bodyDiv w:val="1"/>
      <w:marLeft w:val="0"/>
      <w:marRight w:val="0"/>
      <w:marTop w:val="0"/>
      <w:marBottom w:val="0"/>
      <w:divBdr>
        <w:top w:val="none" w:sz="0" w:space="0" w:color="auto"/>
        <w:left w:val="none" w:sz="0" w:space="0" w:color="auto"/>
        <w:bottom w:val="none" w:sz="0" w:space="0" w:color="auto"/>
        <w:right w:val="none" w:sz="0" w:space="0" w:color="auto"/>
      </w:divBdr>
    </w:div>
    <w:div w:id="1404597663">
      <w:bodyDiv w:val="1"/>
      <w:marLeft w:val="0"/>
      <w:marRight w:val="0"/>
      <w:marTop w:val="0"/>
      <w:marBottom w:val="0"/>
      <w:divBdr>
        <w:top w:val="none" w:sz="0" w:space="0" w:color="auto"/>
        <w:left w:val="none" w:sz="0" w:space="0" w:color="auto"/>
        <w:bottom w:val="none" w:sz="0" w:space="0" w:color="auto"/>
        <w:right w:val="none" w:sz="0" w:space="0" w:color="auto"/>
      </w:divBdr>
    </w:div>
    <w:div w:id="1543515827">
      <w:bodyDiv w:val="1"/>
      <w:marLeft w:val="0"/>
      <w:marRight w:val="0"/>
      <w:marTop w:val="0"/>
      <w:marBottom w:val="0"/>
      <w:divBdr>
        <w:top w:val="none" w:sz="0" w:space="0" w:color="auto"/>
        <w:left w:val="none" w:sz="0" w:space="0" w:color="auto"/>
        <w:bottom w:val="none" w:sz="0" w:space="0" w:color="auto"/>
        <w:right w:val="none" w:sz="0" w:space="0" w:color="auto"/>
      </w:divBdr>
    </w:div>
    <w:div w:id="162118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8600B-A1DB-4DAD-A3D9-7FDE44D18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50</cp:revision>
  <dcterms:created xsi:type="dcterms:W3CDTF">2022-11-14T05:02:00Z</dcterms:created>
  <dcterms:modified xsi:type="dcterms:W3CDTF">2023-08-27T05:32:00Z</dcterms:modified>
</cp:coreProperties>
</file>