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</w:rPr>
        <w:t xml:space="preserve">﻿# 检验选择表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先判断资料类型，再判断组数和设计类型。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第一步：资料类型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资料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例子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常见处理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计量资料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身高、体重、血压、血糖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均数、标准差、t检验、方差分析、回归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计数资料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男/女、患病/未患病、有效/无效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率、构成比、χ²检验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等级资料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轻/中/重，疗效差/一般/好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非参数秩和检验</w:t>
            </w:r>
          </w:p>
        </w:tc>
      </w:tr>
    </w:tbl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第二步：常见问题对应方法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问题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条件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首选方法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不满足条件时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一个计量变量怎么描述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近似正态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均数±标准差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偏态用中位数和四分位数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一个样本均数与已知值比较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计量资料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单样本t检验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单样本非参数方法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同一批人前后比较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配对计量资料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配对t检验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Wilcoxon符号秩检验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两个独立组均数比较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两独立计量资料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独立样本t检验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Mann-Whitney秩和检验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三组及以上均数比较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多独立组计量资料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方差分析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Kruskal-Wallis H检验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两个分类变量是否有关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分类资料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χ²检验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Fisher精确检验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两个计量变量是否相关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计量资料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Pearson相关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Spearman相关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用一个计量变量预测另一个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因变量计量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线性回归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先看散点图和适用条件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多因素影响一个计量结局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因变量计量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多元线性回归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视资料转换或换模型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多因素影响一个二分类结局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因变量二分类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Logistic回归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样本量太小时谨慎解释</w:t>
            </w:r>
          </w:p>
        </w:tc>
      </w:tr>
    </w:tbl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口诀版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两组均数：先想t检验。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三组均数：先想方差分析。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分类变量：先想χ²。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偏态或等级：先想秩和检验。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两个连续变量关系：先想相关。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连续结局多因素：多元线性回归。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二分类结局多因素：Logistic回归。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2026-05-31T08:24:14.238Z</dcterms:created>
  <dcterms:modified xsi:type="dcterms:W3CDTF">2026-05-31T08:24:14.238Z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