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SPSS 14天试用期优先训练清单</w:t>
      </w:r>
    </w:p>
    <w:p/>
    <w:p>
      <w:r>
        <w:rPr>
          <w:rFonts w:ascii="Microsoft YaHei" w:hAnsi="Microsoft YaHei" w:eastAsia="Microsoft YaHei"/>
          <w:sz w:val="22"/>
        </w:rPr>
        <w:t>SPSS已安装，但只有14天试用期。目标是在试用期内把所有核心操作都跑一遍，并把关键输出截图保存下来。</w:t>
      </w:r>
    </w:p>
    <w:p/>
    <w:p>
      <w:r>
        <w:rPr>
          <w:rFonts w:ascii="Microsoft YaHei" w:hAnsi="Microsoft YaHei" w:eastAsia="Microsoft YaHei"/>
          <w:sz w:val="22"/>
        </w:rPr>
        <w:t>新增教材：`D:\医学统计学期末冲刺复习包\中医统计学实习指导及SPSS15.0的应用.pdf`。这本作为 SPSS 操作查阅教材，练习时如果找不到菜单或看不懂输出，就打开它查对应方法。</w:t>
      </w:r>
    </w:p>
    <w:p/>
    <w:p>
      <w:pPr>
        <w:pStyle w:val="Heading2"/>
      </w:pPr>
      <w:r>
        <w:t>最优先完成的8类操作</w:t>
      </w:r>
    </w:p>
    <w:p/>
    <w:p>
      <w:r>
        <w:rPr>
          <w:rFonts w:ascii="Microsoft YaHei" w:hAnsi="Microsoft YaHei" w:eastAsia="Microsoft YaHei"/>
          <w:sz w:val="22"/>
        </w:rPr>
        <w:t>每类操作至少保存一张输出截图到 `D:\医学统计学期末冲刺复习包\SPSS截图`。</w:t>
      </w:r>
    </w:p>
    <w:p/>
    <w:p>
      <w:r>
        <w:rPr>
          <w:rFonts w:ascii="Microsoft YaHei" w:hAnsi="Microsoft YaHei" w:eastAsia="Microsoft YaHei"/>
          <w:sz w:val="22"/>
        </w:rPr>
        <w:t>| 优先级 | 操作 | 菜单 | 推荐数据 |</w:t>
      </w:r>
    </w:p>
    <w:p>
      <w:r>
        <w:rPr>
          <w:rFonts w:ascii="Microsoft YaHei" w:hAnsi="Microsoft YaHei" w:eastAsia="Microsoft YaHei"/>
          <w:sz w:val="22"/>
        </w:rPr>
        <w:t>|---:|---|---|---|</w:t>
      </w:r>
    </w:p>
    <w:p>
      <w:r>
        <w:rPr>
          <w:rFonts w:ascii="Microsoft YaHei" w:hAnsi="Microsoft YaHei" w:eastAsia="Microsoft YaHei"/>
          <w:sz w:val="22"/>
        </w:rPr>
        <w:t>| 1 | 变量视图和值标签 | Variable View | 任意 `.sav` |</w:t>
      </w:r>
    </w:p>
    <w:p>
      <w:r>
        <w:rPr>
          <w:rFonts w:ascii="Microsoft YaHei" w:hAnsi="Microsoft YaHei" w:eastAsia="Microsoft YaHei"/>
          <w:sz w:val="22"/>
        </w:rPr>
        <w:t>| 2 | 描述统计和正态性 | Analyze &gt; Descriptive Statistics &gt; Explore | `例02-01.sav` |</w:t>
      </w:r>
    </w:p>
    <w:p>
      <w:r>
        <w:rPr>
          <w:rFonts w:ascii="Microsoft YaHei" w:hAnsi="Microsoft YaHei" w:eastAsia="Microsoft YaHei"/>
          <w:sz w:val="22"/>
        </w:rPr>
        <w:t>| 3 | 单样本t检验 | Analyze &gt; Compare Means &gt; One-Sample T Test | `例03-05.sav` |</w:t>
      </w:r>
    </w:p>
    <w:p>
      <w:r>
        <w:rPr>
          <w:rFonts w:ascii="Microsoft YaHei" w:hAnsi="Microsoft YaHei" w:eastAsia="Microsoft YaHei"/>
          <w:sz w:val="22"/>
        </w:rPr>
        <w:t>| 4 | 配对t检验 | Analyze &gt; Compare Means &gt; Paired-Samples T Test | `例03-06.sav` |</w:t>
      </w:r>
    </w:p>
    <w:p>
      <w:r>
        <w:rPr>
          <w:rFonts w:ascii="Microsoft YaHei" w:hAnsi="Microsoft YaHei" w:eastAsia="Microsoft YaHei"/>
          <w:sz w:val="22"/>
        </w:rPr>
        <w:t>| 5 | 独立样本t检验 | Analyze &gt; Compare Means &gt; Independent-Samples T Test | `例03-07.sav` |</w:t>
      </w:r>
    </w:p>
    <w:p>
      <w:r>
        <w:rPr>
          <w:rFonts w:ascii="Microsoft YaHei" w:hAnsi="Microsoft YaHei" w:eastAsia="Microsoft YaHei"/>
          <w:sz w:val="22"/>
        </w:rPr>
        <w:t>| 6 | 单因素方差分析 | Analyze &gt; Compare Means &gt; One-Way ANOVA | `例04-02.sav` |</w:t>
      </w:r>
    </w:p>
    <w:p>
      <w:r>
        <w:rPr>
          <w:rFonts w:ascii="Microsoft YaHei" w:hAnsi="Microsoft YaHei" w:eastAsia="Microsoft YaHei"/>
          <w:sz w:val="22"/>
        </w:rPr>
        <w:t>| 7 | χ²检验 | Analyze &gt; Descriptive Statistics &gt; Crosstabs | `例07-01.sav` |</w:t>
      </w:r>
    </w:p>
    <w:p>
      <w:r>
        <w:rPr>
          <w:rFonts w:ascii="Microsoft YaHei" w:hAnsi="Microsoft YaHei" w:eastAsia="Microsoft YaHei"/>
          <w:sz w:val="22"/>
        </w:rPr>
        <w:t>| 8 | 非参数检验 | Analyze &gt; Nonparametric Tests &gt; Legacy Dialogs | `例08-01.sav` |</w:t>
      </w:r>
    </w:p>
    <w:p>
      <w:r>
        <w:rPr>
          <w:rFonts w:ascii="Microsoft YaHei" w:hAnsi="Microsoft YaHei" w:eastAsia="Microsoft YaHei"/>
          <w:sz w:val="22"/>
        </w:rPr>
        <w:t>| 9 | 相关分析 | Analyze &gt; Correlate &gt; Bivariate | `例09-01.sav` |</w:t>
      </w:r>
    </w:p>
    <w:p>
      <w:r>
        <w:rPr>
          <w:rFonts w:ascii="Microsoft YaHei" w:hAnsi="Microsoft YaHei" w:eastAsia="Microsoft YaHei"/>
          <w:sz w:val="22"/>
        </w:rPr>
        <w:t>| 10 | 线性回归 | Analyze &gt; Regression &gt; Linear | `例09-05.sav` 或 `例15-01.sav` |</w:t>
      </w:r>
    </w:p>
    <w:p>
      <w:r>
        <w:rPr>
          <w:rFonts w:ascii="Microsoft YaHei" w:hAnsi="Microsoft YaHei" w:eastAsia="Microsoft YaHei"/>
          <w:sz w:val="22"/>
        </w:rPr>
        <w:t>| 11 | Logistic回归 | Analyze &gt; Regression &gt; Binary Logistic | `例16-01.sav` |</w:t>
      </w:r>
    </w:p>
    <w:p>
      <w:r>
        <w:rPr>
          <w:rFonts w:ascii="Microsoft YaHei" w:hAnsi="Microsoft YaHei" w:eastAsia="Microsoft YaHei"/>
          <w:sz w:val="22"/>
        </w:rPr>
        <w:t>| 12 | 作图 | Graphs &gt; Chart Builder | `例10-04.sav` |</w:t>
      </w:r>
    </w:p>
    <w:p/>
    <w:p>
      <w:pPr>
        <w:pStyle w:val="Heading2"/>
      </w:pPr>
      <w:r>
        <w:t>截图命名建议</w:t>
      </w:r>
    </w:p>
    <w:p/>
    <w:p>
      <w:r>
        <w:rPr>
          <w:rFonts w:ascii="Microsoft YaHei" w:hAnsi="Microsoft YaHei" w:eastAsia="Microsoft YaHei"/>
          <w:sz w:val="22"/>
        </w:rPr>
        <w:t>截图文件名按这个格式保存：</w:t>
      </w:r>
    </w:p>
    <w:p/>
    <w:p>
      <w:r>
        <w:rPr>
          <w:rFonts w:ascii="Microsoft YaHei" w:hAnsi="Microsoft YaHei" w:eastAsia="Microsoft YaHei"/>
          <w:sz w:val="22"/>
        </w:rPr>
        <w:t>`日期_方法_数据文件_输出表.png`</w:t>
      </w:r>
    </w:p>
    <w:p/>
    <w:p>
      <w:r>
        <w:rPr>
          <w:rFonts w:ascii="Microsoft YaHei" w:hAnsi="Microsoft YaHei" w:eastAsia="Microsoft YaHei"/>
          <w:sz w:val="22"/>
        </w:rPr>
        <w:t>例：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`0530_描述统计_例02-01_Explore输出.png`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`0531_独立样本t检验_例03-07_Levene和P值.png`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`0602_卡方检验_例07-01_Pearson卡方.png`</w:t>
      </w:r>
    </w:p>
    <w:p/>
    <w:p>
      <w:pPr>
        <w:pStyle w:val="Heading2"/>
      </w:pPr>
      <w:r>
        <w:t>如果试用期提前结束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先看已经保存的截图复习输出表。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把剩余模拟安排到学校机房。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不要临时换其他统计软件；考试是 SPSS，菜单路径和输出表最重要。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