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KDA 7-Day Sprint Builder – Ambassador Manual</w:t>
      </w:r>
    </w:p>
    <w:p>
      <w:pPr>
        <w:pStyle w:val="Heading1"/>
      </w:pPr>
      <w:r>
        <w:t>Ambassador Role</w:t>
      </w:r>
    </w:p>
    <w:p>
      <w:r>
        <w:t>Guide Master Prompt workflow and enforce execution discipline.</w:t>
      </w:r>
    </w:p>
    <w:p>
      <w:pPr>
        <w:pStyle w:val="Heading1"/>
      </w:pPr>
      <w:r>
        <w:t>Responsibilities</w:t>
      </w:r>
    </w:p>
    <w:p>
      <w:r>
        <w:t>Enforce 3-feature rule, Ensure Day 1 publishing, Prevent expansion after Day 4, Moderate troubleshooting, Facilitate Demo Day.</w:t>
      </w:r>
    </w:p>
    <w:p>
      <w:pPr>
        <w:pStyle w:val="Heading1"/>
      </w:pPr>
      <w:r>
        <w:t>Hybrid Implementation</w:t>
      </w:r>
    </w:p>
    <w:p>
      <w:r>
        <w:t>Provide physical support hub and maintain online build room.</w:t>
      </w:r>
    </w:p>
    <w:p>
      <w:pPr>
        <w:pStyle w:val="Heading1"/>
      </w:pPr>
      <w:r>
        <w:t>Enforcement Rules</w:t>
      </w:r>
    </w:p>
    <w:p>
      <w:r>
        <w:t>No live URL on Day 1 = flagged. No URL by Day 5 = no Demo slot. Day 6 = troubleshooting only.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