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7-Day Sprint Builder – Program Summary</w:t>
      </w:r>
    </w:p>
    <w:p>
      <w:pPr>
        <w:pStyle w:val="Heading1"/>
      </w:pPr>
      <w:r>
        <w:t>Program Snapshot</w:t>
      </w:r>
    </w:p>
    <w:p>
      <w:r>
        <w:t>Duration: 7 Days. Day 1 &amp; 7: 2 Hours. Day 6: Troubleshooting. Mode: Hybrid. Target: 18+ Individuals.</w:t>
      </w:r>
    </w:p>
    <w:p>
      <w:pPr>
        <w:pStyle w:val="Heading1"/>
      </w:pPr>
      <w:r>
        <w:t>Outcome</w:t>
      </w:r>
    </w:p>
    <w:p>
      <w:r>
        <w:t>Participants publish a functional mini-tool and present it publicly.</w:t>
      </w:r>
    </w:p>
    <w:p>
      <w:pPr>
        <w:pStyle w:val="Heading1"/>
      </w:pPr>
      <w:r>
        <w:t>Core Rule</w:t>
      </w:r>
    </w:p>
    <w:p>
      <w:r>
        <w:t>Publish on Day 1. Improve daily. Demo on Day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