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Founder Lab – Investment Demo Day Runbook</w:t>
      </w:r>
    </w:p>
    <w:p>
      <w:pPr>
        <w:pStyle w:val="Heading1"/>
      </w:pPr>
      <w:r>
        <w:t>Event Structure</w:t>
      </w:r>
    </w:p>
    <w:p>
      <w:r>
        <w:t>• Opening Keynote</w:t>
        <w:br/>
        <w:t>• Team Pitches (5–7 minutes each)</w:t>
        <w:br/>
        <w:t>• Live Demo</w:t>
        <w:br/>
        <w:t>• Q&amp;A Panel</w:t>
        <w:br/>
        <w:t>• Networking Session</w:t>
      </w:r>
    </w:p>
    <w:p>
      <w:pPr>
        <w:pStyle w:val="Heading1"/>
      </w:pPr>
      <w:r>
        <w:t>Investor Panel Composition</w:t>
      </w:r>
    </w:p>
    <w:p>
      <w:r>
        <w:t>Angel investors, Corporate partners, University reps, Cradle observers.</w:t>
      </w:r>
    </w:p>
    <w:p>
      <w:pPr>
        <w:pStyle w:val="Heading1"/>
      </w:pPr>
      <w:r>
        <w:t>Scoring Criteria</w:t>
      </w:r>
    </w:p>
    <w:p>
      <w:r>
        <w:t>Problem Depth</w:t>
        <w:br/>
        <w:t>Product Quality</w:t>
        <w:br/>
        <w:t>Traction Signals</w:t>
        <w:br/>
        <w:t>Founder Capability</w:t>
        <w:br/>
        <w:t>Investment Readiness</w:t>
      </w:r>
    </w:p>
    <w:p>
      <w:pPr>
        <w:pStyle w:val="Heading1"/>
      </w:pPr>
      <w:r>
        <w:t>Post-Demo Pathway</w:t>
      </w:r>
    </w:p>
    <w:p>
      <w:r>
        <w:t>Shortlisted teams enter due diligence phase or micro-grant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