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KDA National Curriculum Master Document</w:t>
      </w:r>
    </w:p>
    <w:p>
      <w:pPr>
        <w:pStyle w:val="Heading1"/>
      </w:pPr>
      <w:r>
        <w:t>KDA National AI Builder Pipeline Overview</w:t>
      </w:r>
    </w:p>
    <w:p>
      <w:r>
        <w:t>Junior (7–12): Creative Exposure</w:t>
        <w:br/>
        <w:t>Secondary (13–17): Deployment &amp; Validation</w:t>
        <w:br/>
        <w:t>Founder Lab (18+): Investment Pipeline</w:t>
      </w:r>
    </w:p>
    <w:p>
      <w:pPr>
        <w:pStyle w:val="Heading1"/>
      </w:pPr>
      <w:r>
        <w:t>Curriculum Spine (M0–M6)</w:t>
      </w:r>
    </w:p>
    <w:p>
      <w:r>
        <w:t>M0: Builder Mindset</w:t>
        <w:br/>
        <w:t>M1: Problem Framing</w:t>
        <w:br/>
        <w:t>M2: Prompt-to-Product</w:t>
        <w:br/>
        <w:t>M3: Build</w:t>
        <w:br/>
        <w:t>M4: Deploy</w:t>
        <w:br/>
        <w:t>M5: Validate</w:t>
        <w:br/>
        <w:t>M6: Pitch</w:t>
      </w:r>
    </w:p>
    <w:p>
      <w:pPr>
        <w:pStyle w:val="Heading1"/>
      </w:pPr>
      <w:r>
        <w:t>Pipeline Flow</w:t>
      </w:r>
    </w:p>
    <w:p>
      <w:r>
        <w:t>Junior → Secondary → Founder Lab → National Showcase → Investment</w:t>
      </w:r>
    </w:p>
    <w:p>
      <w:pPr>
        <w:pStyle w:val="Heading1"/>
      </w:pPr>
      <w:r>
        <w:t>Governance Framework</w:t>
      </w:r>
    </w:p>
    <w:p>
      <w:r>
        <w:t>Teacher-controlled AI usage, structured rubrics, KPI dashboards, mentor oversight.</w:t>
      </w:r>
    </w:p>
    <w:p>
      <w:pPr>
        <w:pStyle w:val="Heading1"/>
      </w:pPr>
      <w:r>
        <w:t>Year 1 Targets</w:t>
      </w:r>
    </w:p>
    <w:p>
      <w:r>
        <w:t>5,000 youth trained</w:t>
        <w:br/>
        <w:t>200 validated ideas</w:t>
        <w:br/>
        <w:t>100 Founder Lab teams</w:t>
        <w:br/>
        <w:t>15–20 investable startups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