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Junior Track – Alignment with National Curriculum Framework</w:t>
      </w:r>
    </w:p>
    <w:p>
      <w:pPr>
        <w:pStyle w:val="Heading1"/>
      </w:pPr>
      <w:r>
        <w:t>Alignment with KDA Curriculum Spine (M0–M6)</w:t>
      </w:r>
    </w:p>
    <w:p>
      <w:r>
        <w:t>M0: Builder Mindset introduced in Week 1.</w:t>
        <w:br/>
        <w:t>M1: Problem Framing in Week 1–2.</w:t>
        <w:br/>
        <w:t>M2: Prompt-to-Product Design in Week 2–3.</w:t>
        <w:br/>
        <w:t>M3: Build &amp; Integrate in Week 4–6.</w:t>
        <w:br/>
        <w:t>M4: Deploy &amp; Verify in Week 7.</w:t>
        <w:br/>
        <w:t>M5: Validate &amp; Improve in Week 5–6.</w:t>
        <w:br/>
        <w:t>M6: Pitch &amp; Pathway in Week 8 Demo Day.</w:t>
      </w:r>
    </w:p>
    <w:p>
      <w:pPr>
        <w:pStyle w:val="Heading1"/>
      </w:pPr>
      <w:r>
        <w:t>Digital Economy Infrastructure Layer</w:t>
      </w:r>
    </w:p>
    <w:p>
      <w:r>
        <w:t>Junior Track builds early deployment culture feeding into Youth and Founder pipelines.</w:t>
      </w:r>
    </w:p>
    <w:p>
      <w:pPr>
        <w:pStyle w:val="Heading1"/>
      </w:pPr>
      <w:r>
        <w:t>Governance Compliance</w:t>
      </w:r>
    </w:p>
    <w:p>
      <w:r>
        <w:t>Teacher-controlled AI usage, minor consent safeguards, rubric moderation framework.</w:t>
      </w:r>
    </w:p>
    <w:p>
      <w:pPr>
        <w:pStyle w:val="Heading1"/>
      </w:pPr>
      <w:r>
        <w:t>Scalability Model</w:t>
      </w:r>
    </w:p>
    <w:p>
      <w:r>
        <w:t>Train-the-trainer model enables replication across schools nationally.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