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KDA Secondary Inter-School Hackathon Playbook</w:t>
      </w:r>
    </w:p>
    <w:p>
      <w:pPr>
        <w:pStyle w:val="Heading1"/>
      </w:pPr>
      <w:r>
        <w:t>Hackathon Format</w:t>
      </w:r>
    </w:p>
    <w:p>
      <w:r>
        <w:t>48-hour build challenge or 2-day weekend sprint.</w:t>
      </w:r>
    </w:p>
    <w:p>
      <w:pPr>
        <w:pStyle w:val="Heading1"/>
      </w:pPr>
      <w:r>
        <w:t>Theme Options</w:t>
      </w:r>
    </w:p>
    <w:p>
      <w:r>
        <w:t>• School Digitisation</w:t>
        <w:br/>
        <w:t>• Community Tools</w:t>
        <w:br/>
        <w:t>• Youth Productivity</w:t>
        <w:br/>
        <w:t>• Environmental Apps</w:t>
      </w:r>
    </w:p>
    <w:p>
      <w:pPr>
        <w:pStyle w:val="Heading1"/>
      </w:pPr>
      <w:r>
        <w:t>Evaluation Criteria</w:t>
      </w:r>
    </w:p>
    <w:p>
      <w:r>
        <w:t>Functionality (30%)</w:t>
        <w:br/>
        <w:t>Innovation (20%)</w:t>
        <w:br/>
        <w:t>Usability (20%)</w:t>
        <w:br/>
        <w:t>Validation Evidence (20%)</w:t>
        <w:br/>
        <w:t>Pitch (10%)</w:t>
      </w:r>
    </w:p>
    <w:p>
      <w:pPr>
        <w:pStyle w:val="Heading1"/>
      </w:pPr>
      <w:r>
        <w:t>Sponsorship Tier Integration</w:t>
      </w:r>
    </w:p>
    <w:p>
      <w:r>
        <w:t>Title Sponsor, Gold Sponsor, Silver Sponsor model for branding and prizes.</w:t>
      </w:r>
    </w:p>
    <w:p>
      <w:pPr>
        <w:pStyle w:val="Heading1"/>
      </w:pPr>
      <w:r>
        <w:t>Post-Hackathon Pathway</w:t>
      </w:r>
    </w:p>
    <w:p>
      <w:r>
        <w:t>Winning teams fast-tracked into Stage B Product Cohort.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