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Secondary Track – National Curriculum Alignment Document</w:t>
      </w:r>
    </w:p>
    <w:p>
      <w:pPr>
        <w:pStyle w:val="Heading1"/>
      </w:pPr>
      <w:r>
        <w:t>Alignment with KDA M0–M6 Spine</w:t>
      </w:r>
    </w:p>
    <w:p>
      <w:r>
        <w:t>M0: Builder Mindset</w:t>
        <w:br/>
        <w:t>M1: Problem Framing</w:t>
        <w:br/>
        <w:t>M2: Prompt-to-Product Design</w:t>
        <w:br/>
        <w:t>M3: Build &amp; Integrate</w:t>
        <w:br/>
        <w:t>M4: Deploy &amp; Verify</w:t>
        <w:br/>
        <w:t>M5: Validate &amp; Improve</w:t>
        <w:br/>
        <w:t>M6: Pitch &amp; Pathway</w:t>
      </w:r>
    </w:p>
    <w:p>
      <w:pPr>
        <w:pStyle w:val="Heading1"/>
      </w:pPr>
      <w:r>
        <w:t>Pipeline Integration</w:t>
      </w:r>
    </w:p>
    <w:p>
      <w:r>
        <w:t>Secondary Track feeds into Stage B Product Cohort and Founder Lab.</w:t>
      </w:r>
    </w:p>
    <w:p>
      <w:pPr>
        <w:pStyle w:val="Heading1"/>
      </w:pPr>
      <w:r>
        <w:t>Digital Economy Infrastructure Positioning</w:t>
      </w:r>
    </w:p>
    <w:p>
      <w:r>
        <w:t>Creates scalable youth deployment layer supporting national AI builder ecosystem.</w:t>
      </w:r>
    </w:p>
    <w:p>
      <w:pPr>
        <w:pStyle w:val="Heading1"/>
      </w:pPr>
      <w:r>
        <w:t>Governance &amp; Reporting</w:t>
      </w:r>
    </w:p>
    <w:p>
      <w:r>
        <w:t>Includes KPI tracking, deployment percentage, interview count and Demo Day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