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Secondary Track – Teacher Implementation Guide</w:t>
      </w:r>
    </w:p>
    <w:p>
      <w:pPr>
        <w:pStyle w:val="Heading1"/>
      </w:pPr>
      <w:r>
        <w:t>Teacher Role</w:t>
      </w:r>
    </w:p>
    <w:p>
      <w:r>
        <w:t>Teachers act as facilitator, validation coach and deployment supervisor.</w:t>
      </w:r>
    </w:p>
    <w:p>
      <w:pPr>
        <w:pStyle w:val="Heading1"/>
      </w:pPr>
      <w:r>
        <w:t>Delivery Model</w:t>
      </w:r>
    </w:p>
    <w:p>
      <w:r>
        <w:t>12-week structured model. Groups of 2–3 students.</w:t>
      </w:r>
    </w:p>
    <w:p>
      <w:pPr>
        <w:pStyle w:val="Heading1"/>
      </w:pPr>
      <w:r>
        <w:t>Validation Coaching</w:t>
      </w:r>
    </w:p>
    <w:p>
      <w:r>
        <w:t>Train students to conduct minimum 5–10 structured interviews.</w:t>
      </w:r>
    </w:p>
    <w:p>
      <w:pPr>
        <w:pStyle w:val="Heading1"/>
      </w:pPr>
      <w:r>
        <w:t>Deployment Oversight</w:t>
      </w:r>
    </w:p>
    <w:p>
      <w:r>
        <w:t>Ensure each team publishes live working version before Demo Day.</w:t>
      </w:r>
    </w:p>
    <w:p>
      <w:pPr>
        <w:pStyle w:val="Heading1"/>
      </w:pPr>
      <w:r>
        <w:t>Demo Day Execution</w:t>
      </w:r>
    </w:p>
    <w:p>
      <w:r>
        <w:t>Hybrid booth + pitch format recommended. Invite school leadership and sponsors.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