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KrackedDevs Academy (KDA)</w:t>
        <w:br/>
        <w:t>Malaysia’s National AI Builder Pipeline</w:t>
        <w:br/>
        <w:t>A School-to-Startup Digital Economy Infrastructure Model</w:t>
      </w:r>
    </w:p>
    <w:p>
      <w:pPr>
        <w:pStyle w:val="Heading1"/>
      </w:pPr>
      <w:r>
        <w:t>1. Executive Overview</w:t>
      </w:r>
    </w:p>
    <w:p>
      <w:r>
        <w:t>KrackedDevs Academy (KDA) proposes the establishment of Malaysia’s first structured National AI Builder Pipeline — a multi-age digital economy infrastructure designed to transform AI consumers into AI builders.</w:t>
        <w:br/>
        <w:br/>
        <w:t>The initiative launches across Selangor, Kedah, and Sabah through age-aligned testbeds:</w:t>
        <w:br/>
        <w:t>- SK Seksyen 6 Damansara (Ages 7–12)</w:t>
        <w:br/>
        <w:t>- SEMASHUR (Ages 13–17)</w:t>
        <w:br/>
        <w:t>- UniKL MIIT (Ages 18+)</w:t>
        <w:br/>
        <w:br/>
        <w:t>Year 1 Targets:</w:t>
        <w:br/>
        <w:t>- 5,000 participants</w:t>
        <w:br/>
        <w:t>- 1,500–2,000 live deployed applications</w:t>
        <w:br/>
        <w:t>- 200 validated startup ideas</w:t>
        <w:br/>
        <w:t>- 100 Founder Lab equity-stage teams</w:t>
        <w:br/>
        <w:br/>
        <w:t>KDA is positioned primarily as Digital Economy Infrastructure with integrated education and startup acceleration layers.</w:t>
      </w:r>
    </w:p>
    <w:p>
      <w:pPr>
        <w:pStyle w:val="Heading1"/>
      </w:pPr>
      <w:r>
        <w:t>2. Why Digital Economy Infrastructure?</w:t>
      </w:r>
    </w:p>
    <w:p>
      <w:r>
        <w:t>Malaysia requires structured deployment pathways that connect early digital exposure to startup readiness.</w:t>
        <w:br/>
        <w:br/>
        <w:t>KDA links:</w:t>
        <w:br/>
        <w:t>Primary → Secondary → Tertiary → Startup → Investment</w:t>
        <w:br/>
        <w:br/>
        <w:t>This is not a one-off training program but a scalable builder infrastructure.</w:t>
      </w:r>
    </w:p>
    <w:p>
      <w:pPr>
        <w:pStyle w:val="Heading1"/>
      </w:pPr>
      <w:r>
        <w:t>3. Age-Stacked National Builder Model</w:t>
      </w:r>
    </w:p>
    <w:p>
      <w:r>
        <w:t>Layer 1 – Junior Digital Builder Track (7–12)</w:t>
        <w:br/>
        <w:t>Pilot: SK Seksyen 6 Damansara</w:t>
        <w:br/>
        <w:t>Focus: Interactive mini apps, creativity-driven builds, gamified delivery.</w:t>
        <w:br/>
        <w:br/>
        <w:t>Layer 2 – Youth Deployment Track (13–17)</w:t>
        <w:br/>
        <w:t>Pilot: SEMASHUR</w:t>
        <w:br/>
        <w:t>Focus: Live deployment, user validation, analytics integration, MVP iteration.</w:t>
        <w:br/>
        <w:br/>
        <w:t>Layer 3 – Advanced Builder &amp; Startup Track (18+)</w:t>
        <w:br/>
        <w:t>Pilot: UniKL MIIT</w:t>
        <w:br/>
        <w:t>Focus: Traction systems, unit economics, investor readiness, SAFE equity model (5%).</w:t>
      </w:r>
    </w:p>
    <w:p>
      <w:pPr>
        <w:pStyle w:val="Heading1"/>
      </w:pPr>
      <w:r>
        <w:t>4. National Deployment Nodes</w:t>
      </w:r>
    </w:p>
    <w:p>
      <w:r>
        <w:t>KDA operates across:</w:t>
        <w:br/>
        <w:t>- Primary Schools</w:t>
        <w:br/>
        <w:t>- Secondary Schools</w:t>
        <w:br/>
        <w:t>- Universities</w:t>
        <w:br/>
        <w:t>- SME Clusters</w:t>
        <w:br/>
        <w:t>- Open Public Cohorts</w:t>
        <w:br/>
        <w:br/>
        <w:t>No single institution owns the program, ensuring equity and scalability.</w:t>
      </w:r>
    </w:p>
    <w:p>
      <w:pPr>
        <w:pStyle w:val="Heading1"/>
      </w:pPr>
      <w:r>
        <w:t>5. Physical Event Architecture</w:t>
      </w:r>
    </w:p>
    <w:p>
      <w:r>
        <w:t>Per state annually:</w:t>
        <w:br/>
        <w:t>1. State Builder Launch Event</w:t>
        <w:br/>
        <w:t>2. Multi-node Stage A Sprints</w:t>
        <w:br/>
        <w:t>3. State AI Builder Hackathon</w:t>
        <w:br/>
        <w:t>4. State Demo Showcase</w:t>
        <w:br/>
        <w:t>5. National Founder Demo Day</w:t>
      </w:r>
    </w:p>
    <w:p>
      <w:pPr>
        <w:pStyle w:val="Heading1"/>
      </w:pPr>
      <w:r>
        <w:t>6. Hackathon Sponsorship Model</w:t>
      </w:r>
    </w:p>
    <w:p>
      <w:r>
        <w:t>Title Sponsor – RM 250,000</w:t>
        <w:br/>
        <w:t>- Naming rights</w:t>
        <w:br/>
        <w:t>- Branding across nodes</w:t>
        <w:br/>
        <w:t>- Judge seat</w:t>
        <w:br/>
        <w:t>- Talent database access</w:t>
        <w:br/>
        <w:br/>
        <w:t>Gold – RM 100,000</w:t>
        <w:br/>
        <w:t>- Booth + branding</w:t>
        <w:br/>
        <w:t>- Internship pipeline access</w:t>
        <w:br/>
        <w:br/>
        <w:t>Silver – RM 50,000</w:t>
        <w:br/>
        <w:t>- Logo placement</w:t>
        <w:br/>
        <w:t>- Talent recruitment access</w:t>
      </w:r>
    </w:p>
    <w:p>
      <w:pPr>
        <w:pStyle w:val="Heading1"/>
      </w:pPr>
      <w:r>
        <w:t>7. Governance &amp; Quality Assurance</w:t>
      </w:r>
    </w:p>
    <w:p>
      <w:r>
        <w:t>Governance includes National Curriculum Lead, State Program Leads, QA Mentors, and Industry Validation Panel.</w:t>
        <w:br/>
        <w:br/>
        <w:t>Quality Control:</w:t>
        <w:br/>
        <w:t>- 20% rubric moderation</w:t>
        <w:br/>
        <w:t>- Cross-state calibration</w:t>
        <w:br/>
        <w:t>- Minor consent safeguards</w:t>
        <w:br/>
        <w:t>- AI safety compliance</w:t>
      </w:r>
    </w:p>
    <w:p>
      <w:pPr>
        <w:pStyle w:val="Heading1"/>
      </w:pPr>
      <w:r>
        <w:t>8. Year 1 Hybrid Impact Projection</w:t>
      </w:r>
    </w:p>
    <w:p>
      <w:r>
        <w:t>Public Target: 5,000 participants</w:t>
        <w:br/>
        <w:br/>
        <w:t>Breakdown:</w:t>
        <w:br/>
        <w:t>- Primary: 1,500</w:t>
        <w:br/>
        <w:t>- Secondary: 2,500</w:t>
        <w:br/>
        <w:t>- Tertiary/Adults: 1,000</w:t>
        <w:br/>
        <w:br/>
        <w:t>Projected progression:</w:t>
        <w:br/>
        <w:t>- 1,500–2,000 deployed apps</w:t>
        <w:br/>
        <w:t>- 200 validated startup ideas</w:t>
        <w:br/>
        <w:t>- 100 Founder Lab teams</w:t>
      </w:r>
    </w:p>
    <w:p>
      <w:pPr>
        <w:pStyle w:val="Heading1"/>
      </w:pPr>
      <w:r>
        <w:t>9. Financial Model</w:t>
      </w:r>
    </w:p>
    <w:p>
      <w:r>
        <w:t>Government per learner:</w:t>
        <w:br/>
        <w:t>- Stage A: RM 300</w:t>
        <w:br/>
        <w:t>- Stage B: RM 1,500</w:t>
        <w:br/>
        <w:t>- Stage C: RM 5,000</w:t>
        <w:br/>
        <w:br/>
        <w:t>Estimated Year 1 Government ask: RM 3.5–4M</w:t>
        <w:br/>
        <w:br/>
        <w:t>Corporate Sponsorship: RM 1–3M</w:t>
        <w:br/>
        <w:t>Paid Cohort: RM 500k+</w:t>
        <w:br/>
        <w:t>Equity participation ensures long-term sustainability.</w:t>
      </w:r>
    </w:p>
    <w:p>
      <w:pPr>
        <w:pStyle w:val="Heading1"/>
      </w:pPr>
      <w:r>
        <w:t>10. 5-Year Vision</w:t>
      </w:r>
    </w:p>
    <w:p>
      <w:r>
        <w:t>Year 1: 5,000 learners</w:t>
        <w:br/>
        <w:t>Year 3: 10,000+ annually</w:t>
        <w:br/>
        <w:t>Year 5: 25,000+ annually</w:t>
        <w:br/>
        <w:t>5,000+ live deployments annually</w:t>
        <w:br/>
        <w:br/>
        <w:t>KDA becomes Malaysia’s structured AI builder backbone.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