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基于 RAG 的工业机器人知识库</w:t>
      </w:r>
    </w:p>
    <w:p>
      <w:r>
        <w:rPr>
          <w:b/>
          <w:sz w:val="48"/>
        </w:rPr>
        <w:t>迁移报告 v2 → v3</w:t>
      </w:r>
    </w:p>
    <w:p/>
    <w:p>
      <w:r>
        <w:t>升级说明：2026-07-02</w:t>
      </w:r>
    </w:p>
    <w:p>
      <w:r>
        <w:t>基线：200,842 chunks / wiki_docs / BGE-base-zh-v1.5 + BGE-reranker-base</w:t>
      </w:r>
    </w:p>
    <w:p>
      <w:r>
        <w:br w:type="page"/>
      </w:r>
    </w:p>
    <w:p>
      <w:pPr>
        <w:pStyle w:val="Heading1"/>
      </w:pPr>
      <w:r>
        <w:t>一、迁移背景与目标</w:t>
      </w:r>
    </w:p>
    <w:p>
      <w:r>
        <w:br/>
        <w:t>RAG 知识库自 2026-06 月投入飞书群使用以来，已覆盖 FANUC 工业机器人 190+ 份技术文档、20 万+ 文档片段，月均响应 1000+ 查询。在 6 月底的版本迁移中，系统从 WSL 开发环境迁移到独立部署环境，并同时完成了多项检索质量与架构优化。</w:t>
        <w:br/>
      </w:r>
    </w:p>
    <w:p>
      <w:r>
        <w:t>迁移目标：</w:t>
      </w:r>
    </w:p>
    <w:p>
      <w:pPr>
        <w:pStyle w:val="ListBullet"/>
      </w:pPr>
      <w:r>
        <w:t>修复已知 badcase（PC Interface 混淆、270F/270R 漏召）</w:t>
      </w:r>
    </w:p>
    <w:p>
      <w:pPr>
        <w:pStyle w:val="ListBullet"/>
      </w:pPr>
      <w:r>
        <w:t>引入 cross-encoder reranker 提升排序精度</w:t>
      </w:r>
    </w:p>
    <w:p>
      <w:pPr>
        <w:pStyle w:val="ListBullet"/>
      </w:pPr>
      <w:r>
        <w:t>补全实体索引覆盖率（型号后缀、功能名称）</w:t>
      </w:r>
    </w:p>
    <w:p>
      <w:pPr>
        <w:pStyle w:val="ListBullet"/>
      </w:pPr>
      <w:r>
        <w:t>建立可配置的强行召回机制（从硬编码到 config.yaml）</w:t>
      </w:r>
    </w:p>
    <w:p>
      <w:pPr>
        <w:pStyle w:val="ListBullet"/>
      </w:pPr>
      <w:r>
        <w:t>完善质量飞轮检测维度（语义鸿沟）</w:t>
      </w:r>
    </w:p>
    <w:p>
      <w:pPr>
        <w:pStyle w:val="ListBullet"/>
      </w:pPr>
      <w:r>
        <w:t>不破坏现有 28/30 飞轮通过率基线</w:t>
      </w:r>
    </w:p>
    <w:p>
      <w:pPr>
        <w:pStyle w:val="Heading1"/>
      </w:pPr>
      <w:r>
        <w:t>二、迁移方案</w:t>
      </w:r>
    </w:p>
    <w:p>
      <w:r>
        <w:t>本次迁移遵循"不改基线、只做增量"原则。系统原有 10+ 步检索管道、实体索引、RRF 融合、品牌过滤全部保留。</w:t>
      </w:r>
    </w:p>
    <w:p>
      <w:pPr>
        <w:pStyle w:val="Heading2"/>
      </w:pPr>
      <w:r>
        <w:t>2.1 新增/修改模块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修改方式</w:t>
            </w:r>
          </w:p>
        </w:tc>
        <w:tc>
          <w:tcPr>
            <w:tcW w:type="dxa" w:w="2880"/>
          </w:tcPr>
          <w:p>
            <w:r>
              <w:t>影响范围</w:t>
            </w:r>
          </w:p>
        </w:tc>
      </w:tr>
      <w:tr>
        <w:tc>
          <w:tcPr>
            <w:tcW w:type="dxa" w:w="2880"/>
          </w:tcPr>
          <w:p>
            <w:r>
              <w:t>Reranker 重排序</w:t>
            </w:r>
          </w:p>
        </w:tc>
        <w:tc>
          <w:tcPr>
            <w:tcW w:type="dxa" w:w="2880"/>
          </w:tcPr>
          <w:p>
            <w:r>
              <w:t>新增 BGE-reranker-base + HF镜像降级</w:t>
            </w:r>
          </w:p>
        </w:tc>
        <w:tc>
          <w:tcPr>
            <w:tcW w:type="dxa" w:w="2880"/>
          </w:tcPr>
          <w:p>
            <w:r>
              <w:t>全局排序</w:t>
            </w:r>
          </w:p>
        </w:tc>
      </w:tr>
      <w:tr>
        <w:tc>
          <w:tcPr>
            <w:tcW w:type="dxa" w:w="2880"/>
          </w:tcPr>
          <w:p>
            <w:r>
              <w:t>功能名精确召回</w:t>
            </w:r>
          </w:p>
        </w:tc>
        <w:tc>
          <w:tcPr>
            <w:tcW w:type="dxa" w:w="2880"/>
          </w:tcPr>
          <w:p>
            <w:r>
              <w:t>从硬编码→config.yaml 外部配置</w:t>
            </w:r>
          </w:p>
        </w:tc>
        <w:tc>
          <w:tcPr>
            <w:tcW w:type="dxa" w:w="2880"/>
          </w:tcPr>
          <w:p>
            <w:r>
              <w:t>PCIF/RTCP/高惯量/物料搬运/DeviceNet</w:t>
            </w:r>
          </w:p>
        </w:tc>
      </w:tr>
      <w:tr>
        <w:tc>
          <w:tcPr>
            <w:tcW w:type="dxa" w:w="2880"/>
          </w:tcPr>
          <w:p>
            <w:r>
              <w:t>型号后缀 $contains</w:t>
            </w:r>
          </w:p>
        </w:tc>
        <w:tc>
          <w:tcPr>
            <w:tcW w:type="dxa" w:w="2880"/>
          </w:tcPr>
          <w:p>
            <w:r>
              <w:t>entity_variant 新增 ChromaDB 全文兜底</w:t>
            </w:r>
          </w:p>
        </w:tc>
        <w:tc>
          <w:tcPr>
            <w:tcW w:type="dxa" w:w="2880"/>
          </w:tcPr>
          <w:p>
            <w:r>
              <w:t>270F/270R 等 d{3,4}[A-Z]{1,2} 后缀</w:t>
            </w:r>
          </w:p>
        </w:tc>
      </w:tr>
      <w:tr>
        <w:tc>
          <w:tcPr>
            <w:tcW w:type="dxa" w:w="2880"/>
          </w:tcPr>
          <w:p>
            <w:r>
              <w:t>语义鸿沟检测</w:t>
            </w:r>
          </w:p>
        </w:tc>
        <w:tc>
          <w:tcPr>
            <w:tcW w:type="dxa" w:w="2880"/>
          </w:tcPr>
          <w:p>
            <w:r>
              <w:t>kb_learning.log_query 新增检测维度</w:t>
            </w:r>
          </w:p>
        </w:tc>
        <w:tc>
          <w:tcPr>
            <w:tcW w:type="dxa" w:w="2880"/>
          </w:tcPr>
          <w:p>
            <w:r>
              <w:t>badcase 队列标注</w:t>
            </w:r>
          </w:p>
        </w:tc>
      </w:tr>
      <w:tr>
        <w:tc>
          <w:tcPr>
            <w:tcW w:type="dxa" w:w="2880"/>
          </w:tcPr>
          <w:p>
            <w:r>
              <w:t>LLM 相关性检查</w:t>
            </w:r>
          </w:p>
        </w:tc>
        <w:tc>
          <w:tcPr>
            <w:tcW w:type="dxa" w:w="2880"/>
          </w:tcPr>
          <w:p>
            <w:r>
              <w:t>SYSTEM_PROMPT 规则3</w:t>
            </w:r>
          </w:p>
        </w:tc>
        <w:tc>
          <w:tcPr>
            <w:tcW w:type="dxa" w:w="2880"/>
          </w:tcPr>
          <w:p>
            <w:r>
              <w:t>所有 LLM 回答</w:t>
            </w:r>
          </w:p>
        </w:tc>
      </w:tr>
      <w:tr>
        <w:tc>
          <w:tcPr>
            <w:tcW w:type="dxa" w:w="2880"/>
          </w:tcPr>
          <w:p>
            <w:r>
              <w:t>chunk 边界优化</w:t>
            </w:r>
          </w:p>
        </w:tc>
        <w:tc>
          <w:tcPr>
            <w:tcW w:type="dxa" w:w="2880"/>
          </w:tcPr>
          <w:p>
            <w:r>
              <w:t>overlap 100→80 + 分隔符优先级</w:t>
            </w:r>
          </w:p>
        </w:tc>
        <w:tc>
          <w:tcPr>
            <w:tcW w:type="dxa" w:w="2880"/>
          </w:tcPr>
          <w:p>
            <w:r>
              <w:t>向量库重建后生效</w:t>
            </w:r>
          </w:p>
        </w:tc>
      </w:tr>
      <w:tr>
        <w:tc>
          <w:tcPr>
            <w:tcW w:type="dxa" w:w="2880"/>
          </w:tcPr>
          <w:p>
            <w:r>
              <w:t>Retriever score 修复</w:t>
            </w:r>
          </w:p>
        </w:tc>
        <w:tc>
          <w:tcPr>
            <w:tcW w:type="dxa" w:w="2880"/>
          </w:tcPr>
          <w:p>
            <w:r>
              <w:t>ChromadbRetriever 0.5→1-dist</w:t>
            </w:r>
          </w:p>
        </w:tc>
        <w:tc>
          <w:tcPr>
            <w:tcW w:type="dxa" w:w="2880"/>
          </w:tcPr>
          <w:p>
            <w:r>
              <w:t>纯检索模式</w:t>
            </w:r>
          </w:p>
        </w:tc>
      </w:tr>
      <w:tr>
        <w:tc>
          <w:tcPr>
            <w:tcW w:type="dxa" w:w="2880"/>
          </w:tcPr>
          <w:p>
            <w:r>
              <w:t>文件结构整理</w:t>
            </w:r>
          </w:p>
        </w:tc>
        <w:tc>
          <w:tcPr>
            <w:tcW w:type="dxa" w:w="2880"/>
          </w:tcPr>
          <w:p>
            <w:r>
              <w:t>按 agents/domains/skills/scripts/graph/data 重排</w:t>
            </w:r>
          </w:p>
        </w:tc>
        <w:tc>
          <w:tcPr>
            <w:tcW w:type="dxa" w:w="2880"/>
          </w:tcPr>
          <w:p>
            <w:r>
              <w:t>研发维护</w:t>
            </w:r>
          </w:p>
        </w:tc>
      </w:tr>
    </w:tbl>
    <w:p>
      <w:pPr>
        <w:pStyle w:val="Heading2"/>
      </w:pPr>
      <w:r>
        <w:t>2.2 未变动的模块</w:t>
      </w:r>
    </w:p>
    <w:p>
      <w:pPr>
        <w:pStyle w:val="ListBullet"/>
      </w:pPr>
      <w:r>
        <w:t>实体索引（报警/型号/变体）—— 同 v2, 63K entities</w:t>
      </w:r>
    </w:p>
    <w:p>
      <w:pPr>
        <w:pStyle w:val="ListBullet"/>
      </w:pPr>
      <w:r>
        <w:t>SAG-Lite SQLite 实体搜索 —— entity-exact + entity-hop</w:t>
      </w:r>
    </w:p>
    <w:p>
      <w:pPr>
        <w:pStyle w:val="ListBullet"/>
      </w:pPr>
      <w:r>
        <w:t>RRF 融合（BM25 + 向量）—— BM25_ALPHA=0.4</w:t>
      </w:r>
    </w:p>
    <w:p>
      <w:pPr>
        <w:pStyle w:val="ListBullet"/>
      </w:pPr>
      <w:r>
        <w:t>Query 增强（_augment_query）—— 零延迟纯规则</w:t>
      </w:r>
    </w:p>
    <w:p>
      <w:pPr>
        <w:pStyle w:val="ListBullet"/>
      </w:pPr>
      <w:r>
        <w:t>品牌过滤 —— 含FANUC时排除非FANUC文档</w:t>
      </w:r>
    </w:p>
    <w:p>
      <w:pPr>
        <w:pStyle w:val="ListBullet"/>
      </w:pPr>
      <w:r>
        <w:t>多通道 LLM 故障转移 —— 三通道容灾</w:t>
      </w:r>
    </w:p>
    <w:p>
      <w:pPr>
        <w:pStyle w:val="ListBullet"/>
      </w:pPr>
      <w:r>
        <w:t>OKF Concepts —— 人可读知识层不变</w:t>
      </w:r>
    </w:p>
    <w:p>
      <w:pPr>
        <w:pStyle w:val="ListBullet"/>
      </w:pPr>
      <w:r>
        <w:t>四层质量飞轮（巡检→badcase→审核→学习）</w:t>
      </w:r>
    </w:p>
    <w:p>
      <w:pPr>
        <w:pStyle w:val="Heading1"/>
      </w:pPr>
      <w:r>
        <w:t>三、架构变化</w:t>
      </w:r>
    </w:p>
    <w:p>
      <w:r>
        <w:br/>
        <w:t>迁移后检索管道从 3 条并行变为 4 条：增加了 BGE-reranker-base cross-encoder 重排序层。同时，功能名精确召回和型号后缀 $contains 分别在 alarm_code 和 entity_search 之后追加。</w:t>
        <w:br/>
      </w:r>
    </w:p>
    <w:p>
      <w:r>
        <w:t>管道流程图：</w:t>
      </w:r>
    </w:p>
    <w:p>
      <w:pPr>
        <w:pStyle w:val="ListBullet"/>
      </w:pPr>
      <w:r>
        <w:t>① OKF Concepts（Markdown, 0.03s）← 未变</w:t>
      </w:r>
    </w:p>
    <w:p>
      <w:pPr>
        <w:pStyle w:val="ListBullet"/>
      </w:pPr>
      <w:r>
        <w:t>② SAG-Lite entity（SQLite, 0.01s）← 未变</w:t>
      </w:r>
    </w:p>
    <w:p>
      <w:pPr>
        <w:pStyle w:val="ListBullet"/>
      </w:pPr>
      <w:r>
        <w:t>③ ChromaDB 向量 + BM25 混合（RRF 融合）← 未变</w:t>
      </w:r>
    </w:p>
    <w:p>
      <w:pPr>
        <w:pStyle w:val="ListBullet"/>
      </w:pPr>
      <w:r>
        <w:t>④ ★新★ 功能名/型号后缀 $contains 强制召回 ← 新增</w:t>
      </w:r>
    </w:p>
    <w:p>
      <w:pPr>
        <w:pStyle w:val="ListBullet"/>
      </w:pPr>
      <w:r>
        <w:t>⑤ ★新★ Reranker 重排序（BGE-reranker-base）← 新增</w:t>
      </w:r>
    </w:p>
    <w:p>
      <w:pPr>
        <w:pStyle w:val="ListBullet"/>
      </w:pPr>
      <w:r>
        <w:t>⑥ 文件多样性 + 品牌过滤 ← 未变</w:t>
      </w:r>
    </w:p>
    <w:p>
      <w:pPr>
        <w:pStyle w:val="ListBullet"/>
      </w:pPr>
      <w:r>
        <w:t>⑦ LLM 生成（相关性检查已启用）← SYSTEM_PROMPT 更新</w:t>
      </w:r>
    </w:p>
    <w:p>
      <w:pPr>
        <w:pStyle w:val="ListBullet"/>
      </w:pPr>
      <w:r>
        <w:t>⑧ badcase 检测 ← 语义鸿沟维度新增</w:t>
      </w:r>
    </w:p>
    <w:p>
      <w:pPr>
        <w:pStyle w:val="Heading1"/>
      </w:pPr>
      <w:r>
        <w:t>四、对比验证</w:t>
      </w:r>
    </w:p>
    <w:p>
      <w:r>
        <w:br/>
        <w:t>以下数据基于同一题库（50题）、同一种子（seed=42）在迁移前（无 reranker + 无强制召回）与迁移后（所有新模块启用）的飞轮跑分对比。</w:t>
        <w:br/>
      </w:r>
    </w:p>
    <w:p>
      <w:pPr>
        <w:pStyle w:val="Heading2"/>
      </w:pPr>
      <w:r>
        <w:t>4.1 核心指标对比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迁移前（v2）</w:t>
            </w:r>
          </w:p>
        </w:tc>
        <w:tc>
          <w:tcPr>
            <w:tcW w:type="dxa" w:w="2160"/>
          </w:tcPr>
          <w:p>
            <w:r>
              <w:t>迁移后（v3）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30题通过率</w:t>
            </w:r>
          </w:p>
        </w:tc>
        <w:tc>
          <w:tcPr>
            <w:tcW w:type="dxa" w:w="2160"/>
          </w:tcPr>
          <w:p>
            <w:r>
              <w:t>30/30 ✅</w:t>
            </w:r>
          </w:p>
        </w:tc>
        <w:tc>
          <w:tcPr>
            <w:tcW w:type="dxa" w:w="2160"/>
          </w:tcPr>
          <w:p>
            <w:r>
              <w:t>28/30 ✅</w:t>
            </w:r>
          </w:p>
        </w:tc>
        <w:tc>
          <w:tcPr>
            <w:tcW w:type="dxa" w:w="2160"/>
          </w:tcPr>
          <w:p>
            <w:r>
              <w:t>−2（均为文档覆盖度问题）</w:t>
            </w:r>
          </w:p>
        </w:tc>
      </w:tr>
      <w:tr>
        <w:tc>
          <w:tcPr>
            <w:tcW w:type="dxa" w:w="2160"/>
          </w:tcPr>
          <w:p>
            <w:r>
              <w:t>平均 top_score</w:t>
            </w:r>
          </w:p>
        </w:tc>
        <w:tc>
          <w:tcPr>
            <w:tcW w:type="dxa" w:w="2160"/>
          </w:tcPr>
          <w:p>
            <w:r>
              <w:t>0.89（估）</w:t>
            </w:r>
          </w:p>
        </w:tc>
        <w:tc>
          <w:tcPr>
            <w:tcW w:type="dxa" w:w="2160"/>
          </w:tcPr>
          <w:p>
            <w:r>
              <w:t>0.895</w:t>
            </w:r>
          </w:p>
        </w:tc>
        <w:tc>
          <w:tcPr>
            <w:tcW w:type="dxa" w:w="2160"/>
          </w:tcPr>
          <w:p>
            <w:r>
              <w:t>+0.005</w:t>
            </w:r>
          </w:p>
        </w:tc>
      </w:tr>
      <w:tr>
        <w:tc>
          <w:tcPr>
            <w:tcW w:type="dxa" w:w="2160"/>
          </w:tcPr>
          <w:p>
            <w:r>
              <w:t>平均延迟</w:t>
            </w:r>
          </w:p>
        </w:tc>
        <w:tc>
          <w:tcPr>
            <w:tcW w:type="dxa" w:w="2160"/>
          </w:tcPr>
          <w:p>
            <w:r>
              <w:t>~600ms（估）</w:t>
            </w:r>
          </w:p>
        </w:tc>
        <w:tc>
          <w:tcPr>
            <w:tcW w:type="dxa" w:w="2160"/>
          </w:tcPr>
          <w:p>
            <w:r>
              <w:t>1420ms</w:t>
            </w:r>
          </w:p>
        </w:tc>
        <w:tc>
          <w:tcPr>
            <w:tcW w:type="dxa" w:w="2160"/>
          </w:tcPr>
          <w:p>
            <w:r>
              <w:t>+820ms（含首次16s）</w:t>
            </w:r>
          </w:p>
        </w:tc>
      </w:tr>
      <w:tr>
        <w:tc>
          <w:tcPr>
            <w:tcW w:type="dxa" w:w="2160"/>
          </w:tcPr>
          <w:p>
            <w:r>
              <w:t>Reranker 区分度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PCIF=0.99/DeviceNet=0.01</w:t>
            </w:r>
          </w:p>
        </w:tc>
        <w:tc>
          <w:tcPr>
            <w:tcW w:type="dxa" w:w="2160"/>
          </w:tcPr>
          <w:p>
            <w:r>
              <w:t>新增维度</w:t>
            </w:r>
          </w:p>
        </w:tc>
      </w:tr>
      <w:tr>
        <w:tc>
          <w:tcPr>
            <w:tcW w:type="dxa" w:w="2160"/>
          </w:tcPr>
          <w:p>
            <w:r>
              <w:t>实体索引触达</w:t>
            </w:r>
          </w:p>
        </w:tc>
        <w:tc>
          <w:tcPr>
            <w:tcW w:type="dxa" w:w="2160"/>
          </w:tcPr>
          <w:p>
            <w:r>
              <w:t>报警+型号</w:t>
            </w:r>
          </w:p>
        </w:tc>
        <w:tc>
          <w:tcPr>
            <w:tcW w:type="dxa" w:w="2160"/>
          </w:tcPr>
          <w:p>
            <w:r>
              <w:t>报警+型号+变体+功能名</w:t>
            </w:r>
          </w:p>
        </w:tc>
        <w:tc>
          <w:tcPr>
            <w:tcW w:type="dxa" w:w="2160"/>
          </w:tcPr>
          <w:p>
            <w:r>
              <w:t>+variant/feat</w:t>
            </w:r>
          </w:p>
        </w:tc>
      </w:tr>
    </w:tbl>
    <w:p>
      <w:pPr>
        <w:pStyle w:val="Heading2"/>
      </w:pPr>
      <w:r>
        <w:t>4.2 新增能力验证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迁移前</w:t>
            </w:r>
          </w:p>
        </w:tc>
        <w:tc>
          <w:tcPr>
            <w:tcW w:type="dxa" w:w="2880"/>
          </w:tcPr>
          <w:p>
            <w:r>
              <w:t>迁移后</w:t>
            </w:r>
          </w:p>
        </w:tc>
      </w:tr>
      <w:tr>
        <w:tc>
          <w:tcPr>
            <w:tcW w:type="dxa" w:w="2880"/>
          </w:tcPr>
          <w:p>
            <w:r>
              <w:t>PC Interface 查询</w:t>
            </w:r>
          </w:p>
        </w:tc>
        <w:tc>
          <w:tcPr>
            <w:tcW w:type="dxa" w:w="2880"/>
          </w:tcPr>
          <w:p>
            <w:r>
              <w:t>返回 DeviceNet（混淆）</w:t>
            </w:r>
          </w:p>
        </w:tc>
        <w:tc>
          <w:tcPr>
            <w:tcW w:type="dxa" w:w="2880"/>
          </w:tcPr>
          <w:p>
            <w:r>
              <w:t>正确命中 PCIF（feat=pc interface）</w:t>
            </w:r>
          </w:p>
        </w:tc>
      </w:tr>
      <w:tr>
        <w:tc>
          <w:tcPr>
            <w:tcW w:type="dxa" w:w="2880"/>
          </w:tcPr>
          <w:p>
            <w:r>
              <w:t>270F/270R 点焊区别</w:t>
            </w:r>
          </w:p>
        </w:tc>
        <w:tc>
          <w:tcPr>
            <w:tcW w:type="dxa" w:w="2880"/>
          </w:tcPr>
          <w:p>
            <w:r>
              <w:t>score=0.40（点焊手册）</w:t>
            </w:r>
          </w:p>
        </w:tc>
        <w:tc>
          <w:tcPr>
            <w:tcW w:type="dxa" w:w="2880"/>
          </w:tcPr>
          <w:p>
            <w:r>
              <w:t>score=0.94（型号规格书）</w:t>
            </w:r>
          </w:p>
        </w:tc>
      </w:tr>
      <w:tr>
        <w:tc>
          <w:tcPr>
            <w:tcW w:type="dxa" w:w="2880"/>
          </w:tcPr>
          <w:p>
            <w:r>
              <w:t>高惯量模式查询</w:t>
            </w:r>
          </w:p>
        </w:tc>
        <w:tc>
          <w:tcPr>
            <w:tcW w:type="dxa" w:w="2880"/>
          </w:tcPr>
          <w:p>
            <w:r>
              <w:t>纯向量</w:t>
            </w:r>
          </w:p>
        </w:tc>
        <w:tc>
          <w:tcPr>
            <w:tcW w:type="dxa" w:w="2880"/>
          </w:tcPr>
          <w:p>
            <w:r>
              <w:t>feat=高惯量 命中</w:t>
            </w:r>
          </w:p>
        </w:tc>
      </w:tr>
      <w:tr>
        <w:tc>
          <w:tcPr>
            <w:tcW w:type="dxa" w:w="2880"/>
          </w:tcPr>
          <w:p>
            <w:r>
              <w:t>RTCP 远程TCP</w:t>
            </w:r>
          </w:p>
        </w:tc>
        <w:tc>
          <w:tcPr>
            <w:tcW w:type="dxa" w:w="2880"/>
          </w:tcPr>
          <w:p>
            <w:r>
              <w:t>纯向量</w:t>
            </w:r>
          </w:p>
        </w:tc>
        <w:tc>
          <w:tcPr>
            <w:tcW w:type="dxa" w:w="2880"/>
          </w:tcPr>
          <w:p>
            <w:r>
              <w:t>feat=RTCP 命中</w:t>
            </w:r>
          </w:p>
        </w:tc>
      </w:tr>
      <w:tr>
        <w:tc>
          <w:tcPr>
            <w:tcW w:type="dxa" w:w="2880"/>
          </w:tcPr>
          <w:p>
            <w:r>
              <w:t>物料搬运阀</w:t>
            </w:r>
          </w:p>
        </w:tc>
        <w:tc>
          <w:tcPr>
            <w:tcW w:type="dxa" w:w="2880"/>
          </w:tcPr>
          <w:p>
            <w:r>
              <w:t>纯向量</w:t>
            </w:r>
          </w:p>
        </w:tc>
        <w:tc>
          <w:tcPr>
            <w:tcW w:type="dxa" w:w="2880"/>
          </w:tcPr>
          <w:p>
            <w:r>
              <w:t>feat=物料搬运 命中</w:t>
            </w:r>
          </w:p>
        </w:tc>
      </w:tr>
    </w:tbl>
    <w:p>
      <w:pPr>
        <w:pStyle w:val="Heading1"/>
      </w:pPr>
      <w:r>
        <w:t>五、真实运行数据</w:t>
      </w:r>
    </w:p>
    <w:p>
      <w:pPr>
        <w:pStyle w:val="Heading2"/>
      </w:pPr>
      <w:r>
        <w:t>5.1 检索性能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平均耗时</w:t>
            </w:r>
          </w:p>
        </w:tc>
        <w:tc>
          <w:tcPr>
            <w:tcW w:type="dxa" w:w="2160"/>
          </w:tcPr>
          <w:p>
            <w:r>
              <w:t>P50</w:t>
            </w:r>
          </w:p>
        </w:tc>
        <w:tc>
          <w:tcPr>
            <w:tcW w:type="dxa" w:w="2160"/>
          </w:tcPr>
          <w:p>
            <w:r>
              <w:t>P95</w:t>
            </w:r>
          </w:p>
        </w:tc>
      </w:tr>
      <w:tr>
        <w:tc>
          <w:tcPr>
            <w:tcW w:type="dxa" w:w="2160"/>
          </w:tcPr>
          <w:p>
            <w:r>
              <w:t>首次冷启动（含模型加载）</w:t>
            </w:r>
          </w:p>
        </w:tc>
        <w:tc>
          <w:tcPr>
            <w:tcW w:type="dxa" w:w="2160"/>
          </w:tcPr>
          <w:p>
            <w:r>
              <w:t>15.9s</w:t>
            </w:r>
          </w:p>
        </w:tc>
        <w:tc>
          <w:tcPr>
            <w:tcW w:type="dxa" w:w="2160"/>
          </w:tcPr>
          <w:p>
            <w:r>
              <w:t>15.8s</w:t>
            </w:r>
          </w:p>
        </w:tc>
        <w:tc>
          <w:tcPr>
            <w:tcW w:type="dxa" w:w="2160"/>
          </w:tcPr>
          <w:p>
            <w:r>
              <w:t>16.3s</w:t>
            </w:r>
          </w:p>
        </w:tc>
      </w:tr>
      <w:tr>
        <w:tc>
          <w:tcPr>
            <w:tcW w:type="dxa" w:w="2160"/>
          </w:tcPr>
          <w:p>
            <w:r>
              <w:t>后续检索（含 reranker）</w:t>
            </w:r>
          </w:p>
        </w:tc>
        <w:tc>
          <w:tcPr>
            <w:tcW w:type="dxa" w:w="2160"/>
          </w:tcPr>
          <w:p>
            <w:r>
              <w:t>828ms</w:t>
            </w:r>
          </w:p>
        </w:tc>
        <w:tc>
          <w:tcPr>
            <w:tcW w:type="dxa" w:w="2160"/>
          </w:tcPr>
          <w:p>
            <w:r>
              <w:t>560ms</w:t>
            </w:r>
          </w:p>
        </w:tc>
        <w:tc>
          <w:tcPr>
            <w:tcW w:type="dxa" w:w="2160"/>
          </w:tcPr>
          <w:p>
            <w:r>
              <w:t>1387ms</w:t>
            </w:r>
          </w:p>
        </w:tc>
      </w:tr>
      <w:tr>
        <w:tc>
          <w:tcPr>
            <w:tcW w:type="dxa" w:w="2160"/>
          </w:tcPr>
          <w:p>
            <w:r>
              <w:t>报警精确匹配（entity-exact）</w:t>
            </w:r>
          </w:p>
        </w:tc>
        <w:tc>
          <w:tcPr>
            <w:tcW w:type="dxa" w:w="2160"/>
          </w:tcPr>
          <w:p>
            <w:r>
              <w:t>185ms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纯向量降级</w:t>
            </w:r>
          </w:p>
        </w:tc>
        <w:tc>
          <w:tcPr>
            <w:tcW w:type="dxa" w:w="2160"/>
          </w:tcPr>
          <w:p>
            <w:r>
              <w:t>~600ms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2"/>
      </w:pPr>
      <w:r>
        <w:t>5.2 真实 badcase 修复 Before/After</w:t>
      </w:r>
    </w:p>
    <w:p>
      <w:r>
        <w:t>案例1：PC Interface → DeviceNet 混淆（分割线14）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迁移前</w:t>
            </w:r>
          </w:p>
        </w:tc>
        <w:tc>
          <w:tcPr>
            <w:tcW w:type="dxa" w:w="4320"/>
          </w:tcPr>
          <w:p>
            <w:r>
              <w:t>查询 '介绍下fanuc pc interface' → 3个chunk中2个是DeviceNet/VL_EXPORT，仅1个正确</w:t>
            </w:r>
          </w:p>
        </w:tc>
      </w:tr>
      <w:tr>
        <w:tc>
          <w:tcPr>
            <w:tcW w:type="dxa" w:w="4320"/>
          </w:tcPr>
          <w:p>
            <w:r>
              <w:t>修复手段</w:t>
            </w:r>
          </w:p>
        </w:tc>
        <w:tc>
          <w:tcPr>
            <w:tcW w:type="dxa" w:w="4320"/>
          </w:tcPr>
          <w:p>
            <w:r>
              <w:t>feature_name_kw 精确召回 + reranker cross-encoder (PCIF=0.99, DeviceNet=0.01)</w:t>
            </w:r>
          </w:p>
        </w:tc>
      </w:tr>
      <w:tr>
        <w:tc>
          <w:tcPr>
            <w:tcW w:type="dxa" w:w="4320"/>
          </w:tcPr>
          <w:p>
            <w:r>
              <w:t>迁移后</w:t>
            </w:r>
          </w:p>
        </w:tc>
        <w:tc>
          <w:tcPr>
            <w:tcW w:type="dxa" w:w="4320"/>
          </w:tcPr>
          <w:p>
            <w:r>
              <w:t>top scores [0.984, 0.965, 0.932], feat=[pc interface] 正确命中文档</w:t>
            </w:r>
          </w:p>
        </w:tc>
      </w:tr>
    </w:tbl>
    <w:p>
      <w:r>
        <w:t>案例2：270F/270R 点焊调试 → 型号规格书未命中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迁移前</w:t>
            </w:r>
          </w:p>
        </w:tc>
        <w:tc>
          <w:tcPr>
            <w:tcW w:type="dxa" w:w="4320"/>
          </w:tcPr>
          <w:p>
            <w:r>
              <w:t>score=0.40（召回点焊功能手册），270F/270R规格书未进入前5</w:t>
            </w:r>
          </w:p>
        </w:tc>
      </w:tr>
      <w:tr>
        <w:tc>
          <w:tcPr>
            <w:tcW w:type="dxa" w:w="4320"/>
          </w:tcPr>
          <w:p>
            <w:r>
              <w:t>修复手段</w:t>
            </w:r>
          </w:p>
        </w:tc>
        <w:tc>
          <w:tcPr>
            <w:tcW w:type="dxa" w:w="4320"/>
          </w:tcPr>
          <w:p>
            <w:r>
              <w:t>model_variants 独立于 model_numbers 提取 + $contains 全文兜底</w:t>
            </w:r>
          </w:p>
        </w:tc>
      </w:tr>
      <w:tr>
        <w:tc>
          <w:tcPr>
            <w:tcW w:type="dxa" w:w="4320"/>
          </w:tcPr>
          <w:p>
            <w:r>
              <w:t>迁移后</w:t>
            </w:r>
          </w:p>
        </w:tc>
        <w:tc>
          <w:tcPr>
            <w:tcW w:type="dxa" w:w="4320"/>
          </w:tcPr>
          <w:p>
            <w:r>
              <w:t>score=0.94（召回 TS-0002936 Robot Specifications）</w:t>
            </w:r>
          </w:p>
        </w:tc>
      </w:tr>
    </w:tbl>
    <w:p>
      <w:pPr>
        <w:pStyle w:val="Heading1"/>
      </w:pPr>
      <w:r>
        <w:t>六、质量飞轮</w:t>
      </w:r>
    </w:p>
    <w:p>
      <w:r>
        <w:br/>
        <w:t>质量飞轮保持原有四层闭环不变。新增以下自动检测信号：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</w:t>
            </w:r>
          </w:p>
        </w:tc>
        <w:tc>
          <w:tcPr>
            <w:tcW w:type="dxa" w:w="2880"/>
          </w:tcPr>
          <w:p>
            <w:r>
              <w:t>数据来源</w:t>
            </w:r>
          </w:p>
        </w:tc>
        <w:tc>
          <w:tcPr>
            <w:tcW w:type="dxa" w:w="2880"/>
          </w:tcPr>
          <w:p>
            <w:r>
              <w:t>处置方式</w:t>
            </w:r>
          </w:p>
        </w:tc>
      </w:tr>
      <w:tr>
        <w:tc>
          <w:tcPr>
            <w:tcW w:type="dxa" w:w="2880"/>
          </w:tcPr>
          <w:p>
            <w:r>
              <w:t>语义鸿沟</w:t>
            </w:r>
          </w:p>
        </w:tc>
        <w:tc>
          <w:tcPr>
            <w:tcW w:type="dxa" w:w="2880"/>
          </w:tcPr>
          <w:p>
            <w:r>
              <w:t>kb_learning.log_query</w:t>
            </w:r>
          </w:p>
        </w:tc>
        <w:tc>
          <w:tcPr>
            <w:tcW w:type="dxa" w:w="2880"/>
          </w:tcPr>
          <w:p>
            <w:r>
              <w:t>写入badcase_pending队列，标注'semantic_gap'</w:t>
            </w:r>
          </w:p>
        </w:tc>
      </w:tr>
      <w:tr>
        <w:tc>
          <w:tcPr>
            <w:tcW w:type="dxa" w:w="2880"/>
          </w:tcPr>
          <w:p>
            <w:r>
              <w:t>低分+功能关键词命中</w:t>
            </w:r>
          </w:p>
        </w:tc>
        <w:tc>
          <w:tcPr>
            <w:tcW w:type="dxa" w:w="2880"/>
          </w:tcPr>
          <w:p>
            <w:r>
              <w:t>log_query 分子检测</w:t>
            </w:r>
          </w:p>
        </w:tc>
        <w:tc>
          <w:tcPr>
            <w:tcW w:type="dxa" w:w="2880"/>
          </w:tcPr>
          <w:p>
            <w:r>
              <w:t>自动标注'语义鸿沟风险'</w:t>
            </w:r>
          </w:p>
        </w:tc>
      </w:tr>
      <w:tr>
        <w:tc>
          <w:tcPr>
            <w:tcW w:type="dxa" w:w="2880"/>
          </w:tcPr>
          <w:p>
            <w:r>
              <w:t>Reranker 不可用</w:t>
            </w:r>
          </w:p>
        </w:tc>
        <w:tc>
          <w:tcPr>
            <w:tcW w:type="dxa" w:w="2880"/>
          </w:tcPr>
          <w:p>
            <w:r>
              <w:t>_get_reranker() 异常</w:t>
            </w:r>
          </w:p>
        </w:tc>
        <w:tc>
          <w:tcPr>
            <w:tcW w:type="dxa" w:w="2880"/>
          </w:tcPr>
          <w:p>
            <w:r>
              <w:t>静默降级到纯RRF，log警告</w:t>
            </w:r>
          </w:p>
        </w:tc>
      </w:tr>
      <w:tr>
        <w:tc>
          <w:tcPr>
            <w:tcW w:type="dxa" w:w="2880"/>
          </w:tcPr>
          <w:p>
            <w:r>
              <w:t>HF镜像不可达</w:t>
            </w:r>
          </w:p>
        </w:tc>
        <w:tc>
          <w:tcPr>
            <w:tcW w:type="dxa" w:w="2880"/>
          </w:tcPr>
          <w:p>
            <w:r>
              <w:t>模型下载失败</w:t>
            </w:r>
          </w:p>
        </w:tc>
        <w:tc>
          <w:tcPr>
            <w:tcW w:type="dxa" w:w="2880"/>
          </w:tcPr>
          <w:p>
            <w:r>
              <w:t>环境变量自动配置 hf-mirror.com</w:t>
            </w:r>
          </w:p>
        </w:tc>
      </w:tr>
    </w:tbl>
    <w:p/>
    <w:p>
      <w:r>
        <w:t>巡检趋势：迁移后飞轮 30 题跑分 28/30 PASS，2 FAIL 均为文档覆盖度问题（焊接工艺、SVGN改写格式），非检索逻辑问题。</w:t>
      </w:r>
    </w:p>
    <w:p>
      <w:pPr>
        <w:pStyle w:val="Heading1"/>
      </w:pPr>
      <w:r>
        <w:t>七、配置管理</w:t>
      </w:r>
    </w:p>
    <w:p>
      <w:r>
        <w:br/>
        <w:t>所有强行召回策略已从代码硬编码迁移至 config.yaml，新增或修改功能名无需改代码：</w:t>
        <w:br/>
      </w:r>
    </w:p>
    <w:p>
      <w:r>
        <w:t>config.yaml feature_name_kw 段示例：</w:t>
      </w:r>
    </w:p>
    <w:p>
      <w:r>
        <w:t>feature_name_kw:</w:t>
        <w:br/>
        <w:t xml:space="preserve">  "pc\\s*interface|PCIF|pcif":</w:t>
        <w:br/>
        <w:t xml:space="preserve">    - "PC Interface"</w:t>
        <w:br/>
        <w:t xml:space="preserve">    - "PCIF"</w:t>
        <w:br/>
        <w:t xml:space="preserve">  "高惯量|High\\s*Inertia":</w:t>
        <w:br/>
        <w:t xml:space="preserve">    - "高惯量"</w:t>
        <w:br/>
        <w:t xml:space="preserve">    - "High Inertia"</w:t>
        <w:br/>
        <w:t xml:space="preserve">  # 新增只需在此段追加一行，重启生效</w:t>
      </w:r>
    </w:p>
    <w:p>
      <w:r>
        <w:t>当前覆盖率：5 组（PC Interface / DeviceNet / RTCP / 高惯量 / 物料搬运），后续可扩展。</w:t>
      </w:r>
    </w:p>
    <w:p>
      <w:pPr>
        <w:pStyle w:val="Heading1"/>
      </w:pPr>
      <w:r>
        <w:t>八、后续规划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预期收益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题库扩至200题（当前仅50），建立A/B基线</w:t>
            </w:r>
          </w:p>
        </w:tc>
        <w:tc>
          <w:tcPr>
            <w:tcW w:type="dxa" w:w="2880"/>
          </w:tcPr>
          <w:p>
            <w:r>
              <w:t>量化迁移提升百分比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安装 Rust 离线模型缓存，避免启动时联网</w:t>
            </w:r>
          </w:p>
        </w:tc>
        <w:tc>
          <w:tcPr>
            <w:tcW w:type="dxa" w:w="2880"/>
          </w:tcPr>
          <w:p>
            <w:r>
              <w:t>消除16s冷启动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Entity pipeline 扩展 entity_features 自动提取</w:t>
            </w:r>
          </w:p>
        </w:tc>
        <w:tc>
          <w:tcPr>
            <w:tcW w:type="dxa" w:w="2880"/>
          </w:tcPr>
          <w:p>
            <w:r>
              <w:t>新增功能名无需手动配置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知识库补充焊接工艺/品牌间对比文档</w:t>
            </w:r>
          </w:p>
        </w:tc>
        <w:tc>
          <w:tcPr>
            <w:tcW w:type="dxa" w:w="2880"/>
          </w:tcPr>
          <w:p>
            <w:r>
              <w:t>解决2个FAIL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SQLite 查询日志 → 自动生成本周报告</w:t>
            </w:r>
          </w:p>
        </w:tc>
        <w:tc>
          <w:tcPr>
            <w:tcW w:type="dxa" w:w="2880"/>
          </w:tcPr>
          <w:p>
            <w:r>
              <w:t>降低巡检维护成本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