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570BF514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D37F1D">
        <w:rPr>
          <w:rFonts w:ascii="Arial" w:hAnsi="Arial"/>
          <w:b/>
          <w:bCs/>
          <w:sz w:val="48"/>
          <w:szCs w:val="48"/>
        </w:rPr>
        <w:t>4</w:t>
      </w:r>
    </w:p>
    <w:p w14:paraId="0D89E08F" w14:textId="5F9F352F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B7962" w:rsidRPr="00DB7962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5D02A9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E04466">
              <w:t>32</w:t>
            </w:r>
            <w:r w:rsidR="00BF46F4">
              <w:t xml:space="preserve"> rounds.</w:t>
            </w:r>
          </w:p>
          <w:p w14:paraId="7B2FDD28" w14:textId="7D1E808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E1462E">
              <w:t>5</w:t>
            </w:r>
            <w:r w:rsidR="004054AD" w:rsidRPr="004054AD">
              <w:t xml:space="preserve"> cardboard targets and 2 steel poppers one of which activates the </w:t>
            </w:r>
            <w:r w:rsidR="00DC1D37">
              <w:t>swinger</w:t>
            </w:r>
            <w:r w:rsidR="004054AD" w:rsidRPr="004054AD">
              <w:t xml:space="preserve"> which is visible at rest. Best 2 hits will score.</w:t>
            </w:r>
          </w:p>
          <w:p w14:paraId="7750F33C" w14:textId="215970D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 xml:space="preserve">, </w:t>
            </w:r>
            <w:r w:rsidR="00DC3FB9">
              <w:t>steel</w:t>
            </w:r>
            <w:r w:rsidR="007A236E">
              <w:t xml:space="preserve">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853D928" w:rsidR="00D32584" w:rsidRDefault="00D65878" w:rsidP="00E735AB">
      <w:pPr>
        <w:jc w:val="center"/>
      </w:pPr>
      <w:r w:rsidRPr="00D65878">
        <w:rPr>
          <w:noProof/>
        </w:rPr>
        <w:drawing>
          <wp:inline distT="0" distB="0" distL="0" distR="0" wp14:anchorId="53BEAB1F" wp14:editId="2ABE7382">
            <wp:extent cx="6400800" cy="4307840"/>
            <wp:effectExtent l="0" t="0" r="0" b="0"/>
            <wp:docPr id="661592738" name="Picture 1" descr="A greyscale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92738" name="Picture 1" descr="A greyscale shot of a buil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25984C35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1B48AD3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37F1D">
        <w:rPr>
          <w:b/>
          <w:bCs/>
        </w:rPr>
        <w:t>4</w:t>
      </w:r>
      <w:r w:rsidR="74EF2C7F" w:rsidRPr="74EF2C7F">
        <w:rPr>
          <w:b/>
          <w:bCs/>
        </w:rPr>
        <w:t xml:space="preserve"> – </w:t>
      </w:r>
      <w:r w:rsidR="74EF2C7F">
        <w:t xml:space="preserve">is a </w:t>
      </w:r>
      <w:r>
        <w:t>32</w:t>
      </w:r>
      <w:r w:rsidR="74EF2C7F">
        <w:t xml:space="preserve">-round, </w:t>
      </w:r>
      <w:r>
        <w:t>160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A236E">
        <w:t xml:space="preserve"> and </w:t>
      </w:r>
      <w:r>
        <w:t>2</w:t>
      </w:r>
      <w:r w:rsidR="007A236E">
        <w:t xml:space="preserve"> </w:t>
      </w:r>
      <w:r w:rsidR="004E123E">
        <w:t>steel</w:t>
      </w:r>
      <w:r w:rsidR="007A236E">
        <w:t xml:space="preserve">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 xml:space="preserve">. The </w:t>
      </w:r>
      <w:r w:rsidR="00EF4391">
        <w:t>steel</w:t>
      </w:r>
      <w:r w:rsidR="007A236E">
        <w:t xml:space="preserve"> targets must fall to score.</w:t>
      </w:r>
      <w:r w:rsidR="00DC1D37">
        <w:t xml:space="preserve"> The swinger is visible at rest.</w:t>
      </w:r>
    </w:p>
    <w:p w14:paraId="26D5D366" w14:textId="64821381" w:rsidR="00D32584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Pr="006F2DA0">
        <w:t>Standing behind the barrel with both palms flat on the top</w:t>
      </w:r>
      <w:r w:rsidR="005820B7">
        <w:t xml:space="preserve"> of the barrel</w:t>
      </w:r>
      <w:r w:rsidRPr="006F2DA0">
        <w:t xml:space="preserve">. Handgun and PCC are unloaded and placed on barrel unpropped with muzzle pointed down range. All magazines </w:t>
      </w:r>
      <w:r w:rsidR="005820B7">
        <w:t xml:space="preserve">to be used on the stage must be </w:t>
      </w:r>
      <w:r w:rsidRPr="006F2DA0">
        <w:t>placed on the barrel.</w:t>
      </w:r>
    </w:p>
    <w:p w14:paraId="7F10892D" w14:textId="77777777" w:rsidR="006F2DA0" w:rsidRDefault="006F2DA0" w:rsidP="006F2DA0">
      <w:pPr>
        <w:spacing w:before="40" w:line="259" w:lineRule="auto"/>
      </w:pPr>
    </w:p>
    <w:p w14:paraId="53128261" w14:textId="057BD8D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857773F" w14:textId="5A4930D3" w:rsidR="74EF2C7F" w:rsidRDefault="0019287A" w:rsidP="74EF2C7F">
      <w:pPr>
        <w:spacing w:before="40" w:line="259" w:lineRule="auto"/>
      </w:pPr>
      <w:r>
        <w:t>Ensure far left targets ARE NOT visible from the rear shooting box.</w:t>
      </w:r>
    </w:p>
    <w:p w14:paraId="52F74BDE" w14:textId="626E63D2" w:rsidR="00DC1D37" w:rsidRDefault="00DC1D37" w:rsidP="74EF2C7F">
      <w:pPr>
        <w:spacing w:before="40" w:line="259" w:lineRule="auto"/>
      </w:pPr>
      <w:r>
        <w:t>Ensure the swinger is not visible prior to activation.</w:t>
      </w:r>
    </w:p>
    <w:sectPr w:rsidR="00DC1D3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F435A" w14:textId="77777777" w:rsidR="001018F2" w:rsidRDefault="001018F2">
      <w:r>
        <w:separator/>
      </w:r>
    </w:p>
  </w:endnote>
  <w:endnote w:type="continuationSeparator" w:id="0">
    <w:p w14:paraId="27E57085" w14:textId="77777777" w:rsidR="001018F2" w:rsidRDefault="0010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03E5E" w14:textId="77777777" w:rsidR="001018F2" w:rsidRDefault="001018F2">
      <w:r>
        <w:separator/>
      </w:r>
    </w:p>
  </w:footnote>
  <w:footnote w:type="continuationSeparator" w:id="0">
    <w:p w14:paraId="529305A2" w14:textId="77777777" w:rsidR="001018F2" w:rsidRDefault="0010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C5F6F"/>
    <w:rsid w:val="000D79B7"/>
    <w:rsid w:val="000F2EE2"/>
    <w:rsid w:val="001018F2"/>
    <w:rsid w:val="00131938"/>
    <w:rsid w:val="0019287A"/>
    <w:rsid w:val="001C2998"/>
    <w:rsid w:val="001F09B3"/>
    <w:rsid w:val="0023318F"/>
    <w:rsid w:val="0024362A"/>
    <w:rsid w:val="00262112"/>
    <w:rsid w:val="00262584"/>
    <w:rsid w:val="002628FD"/>
    <w:rsid w:val="002929CD"/>
    <w:rsid w:val="003103DD"/>
    <w:rsid w:val="00322539"/>
    <w:rsid w:val="00372B10"/>
    <w:rsid w:val="00372D6F"/>
    <w:rsid w:val="0037433B"/>
    <w:rsid w:val="004054AD"/>
    <w:rsid w:val="00436AED"/>
    <w:rsid w:val="0044629C"/>
    <w:rsid w:val="00455798"/>
    <w:rsid w:val="0049467A"/>
    <w:rsid w:val="004A0F2A"/>
    <w:rsid w:val="004B0773"/>
    <w:rsid w:val="004C0448"/>
    <w:rsid w:val="004E123E"/>
    <w:rsid w:val="005014B1"/>
    <w:rsid w:val="005278F7"/>
    <w:rsid w:val="00541279"/>
    <w:rsid w:val="00550CCC"/>
    <w:rsid w:val="005547C8"/>
    <w:rsid w:val="005820B7"/>
    <w:rsid w:val="005D552D"/>
    <w:rsid w:val="00646511"/>
    <w:rsid w:val="0064759E"/>
    <w:rsid w:val="00671714"/>
    <w:rsid w:val="00682685"/>
    <w:rsid w:val="006B451C"/>
    <w:rsid w:val="006F2DA0"/>
    <w:rsid w:val="006F6A93"/>
    <w:rsid w:val="007148E4"/>
    <w:rsid w:val="007739A7"/>
    <w:rsid w:val="007A236E"/>
    <w:rsid w:val="007F48F7"/>
    <w:rsid w:val="00801E64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566DC"/>
    <w:rsid w:val="00B637D5"/>
    <w:rsid w:val="00B6757E"/>
    <w:rsid w:val="00B716A3"/>
    <w:rsid w:val="00B82820"/>
    <w:rsid w:val="00BB06BF"/>
    <w:rsid w:val="00BF46F4"/>
    <w:rsid w:val="00C006FF"/>
    <w:rsid w:val="00C01DF1"/>
    <w:rsid w:val="00C3575E"/>
    <w:rsid w:val="00C4165E"/>
    <w:rsid w:val="00C944B3"/>
    <w:rsid w:val="00CA215D"/>
    <w:rsid w:val="00CC0E7B"/>
    <w:rsid w:val="00CC2CEC"/>
    <w:rsid w:val="00D24B94"/>
    <w:rsid w:val="00D32584"/>
    <w:rsid w:val="00D37F1D"/>
    <w:rsid w:val="00D65878"/>
    <w:rsid w:val="00DB7962"/>
    <w:rsid w:val="00DC1D37"/>
    <w:rsid w:val="00DC3FB9"/>
    <w:rsid w:val="00E04466"/>
    <w:rsid w:val="00E1462E"/>
    <w:rsid w:val="00E263E5"/>
    <w:rsid w:val="00E735AB"/>
    <w:rsid w:val="00EC0162"/>
    <w:rsid w:val="00EF4391"/>
    <w:rsid w:val="00F0322D"/>
    <w:rsid w:val="00F16FCE"/>
    <w:rsid w:val="00F279A3"/>
    <w:rsid w:val="00F320CB"/>
    <w:rsid w:val="00F53FB9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103</cp:revision>
  <cp:lastPrinted>1996-07-22T23:55:00Z</cp:lastPrinted>
  <dcterms:created xsi:type="dcterms:W3CDTF">2023-10-01T15:41:00Z</dcterms:created>
  <dcterms:modified xsi:type="dcterms:W3CDTF">2024-07-14T22:48:00Z</dcterms:modified>
</cp:coreProperties>
</file>