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0B68" w:rsidRDefault="005A6BF6" w:rsidP="005A6BF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Paper Review: </w:t>
      </w:r>
      <w:proofErr w:type="spellStart"/>
      <w:r>
        <w:rPr>
          <w:rFonts w:ascii="Times New Roman" w:hAnsi="Times New Roman" w:cs="Times New Roman"/>
          <w:sz w:val="26"/>
          <w:szCs w:val="26"/>
        </w:rPr>
        <w:t>HateNet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at BLP-2025 Task 1: </w:t>
      </w:r>
      <w:proofErr w:type="spellStart"/>
      <w:r>
        <w:rPr>
          <w:rFonts w:ascii="Times New Roman" w:hAnsi="Times New Roman" w:cs="Times New Roman"/>
          <w:sz w:val="26"/>
          <w:szCs w:val="26"/>
        </w:rPr>
        <w:t>Hierachical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Attention Approach for Bangla Hate Speech Detection.</w:t>
      </w:r>
    </w:p>
    <w:p w:rsidR="005A6BF6" w:rsidRDefault="005A6BF6" w:rsidP="005A6BF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A6BF6" w:rsidRDefault="005A6BF6" w:rsidP="005A6BF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Summary of the paper</w:t>
      </w:r>
    </w:p>
    <w:p w:rsidR="005A6BF6" w:rsidRDefault="005A6BF6" w:rsidP="005A6BF6">
      <w:pPr>
        <w:pStyle w:val="NormalWeb"/>
        <w:spacing w:line="360" w:lineRule="auto"/>
        <w:jc w:val="both"/>
      </w:pPr>
      <w:r>
        <w:rPr>
          <w:sz w:val="26"/>
          <w:szCs w:val="26"/>
        </w:rPr>
        <w:t>The paper proposes parameter-efficient hierarchical attention architecture (</w:t>
      </w:r>
      <w:proofErr w:type="spellStart"/>
      <w:r>
        <w:rPr>
          <w:sz w:val="26"/>
          <w:szCs w:val="26"/>
        </w:rPr>
        <w:t>HateNet</w:t>
      </w:r>
      <w:proofErr w:type="spellEnd"/>
      <w:r>
        <w:rPr>
          <w:sz w:val="26"/>
          <w:szCs w:val="26"/>
        </w:rPr>
        <w:t xml:space="preserve">-BN) for Bangla hate-speech detection in the BLP-2025 Task 1 shared task (Subtask 1A: hate type; Subtask 1B; hate target). But the paper focuses on Subtask 1A and Subtask 1B </w:t>
      </w:r>
      <w:r w:rsidRPr="005A6BF6">
        <w:rPr>
          <w:i/>
          <w:iCs/>
          <w:sz w:val="26"/>
          <w:szCs w:val="26"/>
        </w:rPr>
        <w:t>(this is valuable line you can include in the methodology since all three tasks were mentioned but the work did not show any results for task 3</w:t>
      </w:r>
      <w:r w:rsidR="00867337">
        <w:rPr>
          <w:i/>
          <w:iCs/>
          <w:sz w:val="26"/>
          <w:szCs w:val="26"/>
        </w:rPr>
        <w:t xml:space="preserve"> (hate severity)</w:t>
      </w:r>
      <w:r w:rsidRPr="005A6BF6">
        <w:rPr>
          <w:i/>
          <w:iCs/>
          <w:sz w:val="26"/>
          <w:szCs w:val="26"/>
        </w:rPr>
        <w:t>)</w:t>
      </w:r>
      <w:r>
        <w:rPr>
          <w:sz w:val="26"/>
          <w:szCs w:val="26"/>
        </w:rPr>
        <w:t xml:space="preserve">.  </w:t>
      </w:r>
      <w:r>
        <w:t>Reported results show Micro-F1 ≈0.718 on Subtask 1A (beating a ~0.710 baseline) and competitive performance on Subtask 1B; the model reduces trainable parameters by ~89% vs full fine-tuning. The paper includes a dataset summary, training hyperparameters (LR 2e-5, batch 16, 3 epochs), ablations across (frozen vs unfrozen) and (</w:t>
      </w:r>
      <w:proofErr w:type="spellStart"/>
      <w:r>
        <w:t>BanglaBERT</w:t>
      </w:r>
      <w:proofErr w:type="spellEnd"/>
      <w:r>
        <w:t xml:space="preserve"> vs XLM-R), plus brief limitations.</w:t>
      </w:r>
      <w:r>
        <w:t xml:space="preserve"> </w:t>
      </w:r>
    </w:p>
    <w:p w:rsidR="005A6BF6" w:rsidRDefault="005A6BF6" w:rsidP="005A6BF6">
      <w:pPr>
        <w:pStyle w:val="NormalWeb"/>
        <w:spacing w:line="360" w:lineRule="auto"/>
        <w:jc w:val="both"/>
      </w:pPr>
      <w:r>
        <w:t>Main Review</w:t>
      </w:r>
    </w:p>
    <w:p w:rsidR="005A6BF6" w:rsidRDefault="009951D9" w:rsidP="005A6BF6">
      <w:pPr>
        <w:pStyle w:val="NormalWeb"/>
        <w:spacing w:line="360" w:lineRule="auto"/>
        <w:jc w:val="both"/>
      </w:pPr>
      <w:r>
        <w:t>General Comments</w:t>
      </w:r>
    </w:p>
    <w:p w:rsidR="009951D9" w:rsidRDefault="009951D9" w:rsidP="009951D9">
      <w:pPr>
        <w:pStyle w:val="NormalWeb"/>
        <w:numPr>
          <w:ilvl w:val="0"/>
          <w:numId w:val="1"/>
        </w:numPr>
        <w:spacing w:line="360" w:lineRule="auto"/>
        <w:jc w:val="both"/>
      </w:pPr>
      <w:r>
        <w:t>Writing quality: Clear overall narrative and helpful figures/tables, but there are inconsistencies (</w:t>
      </w:r>
      <w:r w:rsidR="00867337">
        <w:t>e.g.,</w:t>
      </w:r>
      <w:r>
        <w:t xml:space="preserve"> which configuration achieves the best score for Subtask 1A). Some claims would benefit from tighter phrasing and precise metric reporting. </w:t>
      </w:r>
    </w:p>
    <w:p w:rsidR="009951D9" w:rsidRDefault="009951D9" w:rsidP="009951D9">
      <w:pPr>
        <w:pStyle w:val="NormalWeb"/>
        <w:numPr>
          <w:ilvl w:val="0"/>
          <w:numId w:val="1"/>
        </w:numPr>
        <w:spacing w:line="360" w:lineRule="auto"/>
        <w:jc w:val="both"/>
      </w:pPr>
      <w:r>
        <w:t xml:space="preserve">Technical quality: The layer-wise attention over frozen representation is a reasonable, lightweight alternative to full fine-tuning. However, the attention mechanism is straightforward (that is, independent per-layer feed-forward scoring + sum) and the evaluation omits robust checks like variance across seeds, macro-F1 (for imbalance classes), latency/throughput to justify the lightweight/parameter efficient advantages. </w:t>
      </w:r>
    </w:p>
    <w:p w:rsidR="009951D9" w:rsidRDefault="009951D9" w:rsidP="009951D9">
      <w:pPr>
        <w:pStyle w:val="NormalWeb"/>
        <w:numPr>
          <w:ilvl w:val="0"/>
          <w:numId w:val="1"/>
        </w:numPr>
        <w:spacing w:line="360" w:lineRule="auto"/>
        <w:jc w:val="both"/>
      </w:pPr>
      <w:r>
        <w:t>Experiment quality: Experiments cover two backbones and frozen/unfrozen variants with clear ablation grid. Yet the study lacks error ana</w:t>
      </w:r>
      <w:r w:rsidR="00867337">
        <w:t>lyses, class-imbalance handling assessment, like “Sexism, Religious Hate” have lesser samples. No runtime benchmarks to substantiate “efficiency” beyond parameter counts.</w:t>
      </w:r>
    </w:p>
    <w:p w:rsidR="00867337" w:rsidRDefault="00867337" w:rsidP="00867337">
      <w:pPr>
        <w:pStyle w:val="NormalWeb"/>
        <w:spacing w:line="360" w:lineRule="auto"/>
        <w:jc w:val="both"/>
      </w:pPr>
    </w:p>
    <w:p w:rsidR="00867337" w:rsidRDefault="00867337" w:rsidP="00867337">
      <w:pPr>
        <w:pStyle w:val="NormalWeb"/>
        <w:spacing w:line="360" w:lineRule="auto"/>
        <w:jc w:val="both"/>
      </w:pPr>
      <w:r>
        <w:t>Comments by Section</w:t>
      </w:r>
    </w:p>
    <w:p w:rsidR="00867337" w:rsidRDefault="00867337" w:rsidP="00867337">
      <w:pPr>
        <w:pStyle w:val="NormalWeb"/>
        <w:spacing w:line="360" w:lineRule="auto"/>
        <w:jc w:val="both"/>
      </w:pPr>
      <w:r>
        <w:t>Introduction</w:t>
      </w:r>
    </w:p>
    <w:p w:rsidR="00867337" w:rsidRPr="00867337" w:rsidRDefault="00867337" w:rsidP="00867337">
      <w:pPr>
        <w:pStyle w:val="NormalWeb"/>
        <w:numPr>
          <w:ilvl w:val="0"/>
          <w:numId w:val="2"/>
        </w:numPr>
        <w:spacing w:line="360" w:lineRule="auto"/>
        <w:jc w:val="both"/>
      </w:pPr>
      <w:r>
        <w:t xml:space="preserve">Good motivation around Bangla as a low-resource language and challenges of informal/social content. The task framing (types/target) is accurate and grounded in the BLP-2025 shared task. </w:t>
      </w:r>
      <w:proofErr w:type="spellStart"/>
      <w:r>
        <w:rPr>
          <w:i/>
          <w:iCs/>
        </w:rPr>
        <w:t>Considerr</w:t>
      </w:r>
      <w:proofErr w:type="spellEnd"/>
      <w:r>
        <w:rPr>
          <w:i/>
          <w:iCs/>
        </w:rPr>
        <w:t xml:space="preserve"> adding a brief problem formalization and one paragraph preview of your approach vs standard CLS pooling/final-layer fine-tuning (Reference from Attention is all you </w:t>
      </w:r>
      <w:proofErr w:type="gramStart"/>
      <w:r>
        <w:rPr>
          <w:i/>
          <w:iCs/>
        </w:rPr>
        <w:t>need,</w:t>
      </w:r>
      <w:proofErr w:type="gramEnd"/>
      <w:r>
        <w:rPr>
          <w:i/>
          <w:iCs/>
        </w:rPr>
        <w:t xml:space="preserve"> paper can be helpful here)</w:t>
      </w:r>
    </w:p>
    <w:p w:rsidR="00867337" w:rsidRDefault="007D4C68" w:rsidP="007D4C68">
      <w:pPr>
        <w:pStyle w:val="NormalWeb"/>
        <w:spacing w:line="360" w:lineRule="auto"/>
        <w:jc w:val="both"/>
      </w:pPr>
      <w:r>
        <w:t>Related Work</w:t>
      </w:r>
    </w:p>
    <w:p w:rsidR="007D4C68" w:rsidRDefault="007D4C68" w:rsidP="007D4C68">
      <w:pPr>
        <w:pStyle w:val="NormalWeb"/>
        <w:numPr>
          <w:ilvl w:val="0"/>
          <w:numId w:val="2"/>
        </w:numPr>
        <w:spacing w:line="360" w:lineRule="auto"/>
        <w:jc w:val="both"/>
      </w:pPr>
      <w:r>
        <w:t xml:space="preserve">Covers classical ML and recent transformer baselines for Bangla hate speech, including transliterated and multimodal settings. </w:t>
      </w:r>
      <w:r>
        <w:rPr>
          <w:i/>
          <w:iCs/>
        </w:rPr>
        <w:t xml:space="preserve">It would help to position your method alongside prior “layer mixing” strategies like learned scalars, pooling across layers) and lightweight adapters. </w:t>
      </w:r>
      <w:r>
        <w:t>This clarifies where hierarchical token-level attention adds value relative to common alternatives like scalar fusion, attention over CLS per layer, adapters/</w:t>
      </w:r>
      <w:proofErr w:type="spellStart"/>
      <w:r>
        <w:t>LoRA</w:t>
      </w:r>
      <w:proofErr w:type="spellEnd"/>
      <w:r>
        <w:t xml:space="preserve">. </w:t>
      </w:r>
    </w:p>
    <w:p w:rsidR="007D4C68" w:rsidRDefault="007D4C68" w:rsidP="007D4C68">
      <w:pPr>
        <w:pStyle w:val="NormalWeb"/>
        <w:spacing w:line="360" w:lineRule="auto"/>
        <w:jc w:val="both"/>
      </w:pPr>
    </w:p>
    <w:p w:rsidR="007D4C68" w:rsidRDefault="007D4C68" w:rsidP="007D4C68">
      <w:pPr>
        <w:pStyle w:val="NormalWeb"/>
        <w:spacing w:line="360" w:lineRule="auto"/>
        <w:jc w:val="both"/>
      </w:pPr>
      <w:r>
        <w:t>Methodology</w:t>
      </w:r>
    </w:p>
    <w:p w:rsidR="007D4C68" w:rsidRDefault="00CC28AD" w:rsidP="007D4C68">
      <w:pPr>
        <w:pStyle w:val="NormalWeb"/>
        <w:numPr>
          <w:ilvl w:val="0"/>
          <w:numId w:val="2"/>
        </w:numPr>
        <w:spacing w:line="360" w:lineRule="auto"/>
        <w:jc w:val="both"/>
      </w:pPr>
      <w:r>
        <w:t xml:space="preserve">The architecture is clearly described; </w:t>
      </w:r>
      <w:proofErr w:type="spellStart"/>
      <w:r>
        <w:t>pper</w:t>
      </w:r>
      <w:proofErr w:type="spellEnd"/>
      <w:r>
        <w:t xml:space="preserve">-layer </w:t>
      </w:r>
      <w:proofErr w:type="spellStart"/>
      <w:r>
        <w:t>token</w:t>
      </w:r>
      <w:proofErr w:type="spellEnd"/>
      <w:r>
        <w:t xml:space="preserve"> attentions &gt; layer context vector &gt; </w:t>
      </w:r>
      <w:proofErr w:type="spellStart"/>
      <w:r>
        <w:t>concat</w:t>
      </w:r>
      <w:proofErr w:type="spellEnd"/>
      <w:r>
        <w:t xml:space="preserve"> &gt; projection &gt; classifier. Two points to strengthen:</w:t>
      </w:r>
    </w:p>
    <w:p w:rsidR="00CC28AD" w:rsidRDefault="00CC28AD" w:rsidP="00CC28AD">
      <w:pPr>
        <w:pStyle w:val="NormalWeb"/>
        <w:numPr>
          <w:ilvl w:val="1"/>
          <w:numId w:val="2"/>
        </w:numPr>
        <w:spacing w:line="360" w:lineRule="auto"/>
        <w:jc w:val="both"/>
      </w:pPr>
      <w:r>
        <w:t>Explain why token-level attention per layer (vs. layer-scalar mixing) is expected to help for short social posts</w:t>
      </w:r>
    </w:p>
    <w:p w:rsidR="00CC28AD" w:rsidRDefault="00CC28AD" w:rsidP="00CC28AD">
      <w:pPr>
        <w:pStyle w:val="NormalWeb"/>
        <w:numPr>
          <w:ilvl w:val="1"/>
          <w:numId w:val="2"/>
        </w:numPr>
        <w:spacing w:line="360" w:lineRule="auto"/>
        <w:jc w:val="both"/>
      </w:pPr>
      <w:r>
        <w:t xml:space="preserve">Discuss regularization (dropout, weight decay already listed) and how you prevent overfitting given small trainable modules. </w:t>
      </w:r>
    </w:p>
    <w:p w:rsidR="00CC28AD" w:rsidRDefault="00CC28AD" w:rsidP="00CC28AD">
      <w:pPr>
        <w:pStyle w:val="NormalWeb"/>
        <w:numPr>
          <w:ilvl w:val="0"/>
          <w:numId w:val="2"/>
        </w:numPr>
        <w:spacing w:line="360" w:lineRule="auto"/>
        <w:jc w:val="both"/>
      </w:pPr>
      <w:r>
        <w:t xml:space="preserve">Include complexity and parameter counts for attention heads and projector (this is the novelty of the paper so very important to include). If </w:t>
      </w:r>
      <w:r w:rsidR="00043480">
        <w:t>possible,</w:t>
      </w:r>
      <w:r>
        <w:t xml:space="preserve"> a comparison to a simple learned layer-scalar baseline would isolate the benefits of token-level attention. </w:t>
      </w:r>
    </w:p>
    <w:p w:rsidR="00043480" w:rsidRDefault="00043480" w:rsidP="00043480">
      <w:pPr>
        <w:pStyle w:val="NormalWeb"/>
        <w:spacing w:line="360" w:lineRule="auto"/>
        <w:jc w:val="both"/>
      </w:pPr>
      <w:r>
        <w:lastRenderedPageBreak/>
        <w:t xml:space="preserve">Dataset Description and </w:t>
      </w:r>
      <w:proofErr w:type="spellStart"/>
      <w:r>
        <w:t>Prepocessing</w:t>
      </w:r>
      <w:proofErr w:type="spellEnd"/>
    </w:p>
    <w:p w:rsidR="00043480" w:rsidRDefault="00043480" w:rsidP="00043480">
      <w:pPr>
        <w:pStyle w:val="NormalWeb"/>
        <w:numPr>
          <w:ilvl w:val="0"/>
          <w:numId w:val="3"/>
        </w:numPr>
        <w:spacing w:line="360" w:lineRule="auto"/>
        <w:jc w:val="both"/>
      </w:pPr>
      <w:r>
        <w:t xml:space="preserve">Helpful class distribution shows strong class imbalance (e.g., “None” is much larger than Sexism). Since you report Micro-F1, also report Macro-F1 and per-class-F1 to reveal minority class performance. </w:t>
      </w:r>
    </w:p>
    <w:p w:rsidR="00043480" w:rsidRDefault="00043480" w:rsidP="00043480">
      <w:pPr>
        <w:pStyle w:val="NormalWeb"/>
        <w:numPr>
          <w:ilvl w:val="0"/>
          <w:numId w:val="3"/>
        </w:numPr>
        <w:spacing w:line="360" w:lineRule="auto"/>
        <w:jc w:val="both"/>
      </w:pPr>
      <w:r>
        <w:t xml:space="preserve">The preprocessing removes non-Bangla characters and retains only </w:t>
      </w:r>
      <w:proofErr w:type="spellStart"/>
      <w:r>
        <w:t>Blangla</w:t>
      </w:r>
      <w:proofErr w:type="spellEnd"/>
      <w:r>
        <w:t xml:space="preserve"> Unicode, can you discuss potential harms (like hashtags, mentions, numerals, targets’ names </w:t>
      </w:r>
      <w:proofErr w:type="spellStart"/>
      <w:r>
        <w:t>etc</w:t>
      </w:r>
      <w:proofErr w:type="spellEnd"/>
      <w:r>
        <w:t>) especially for subtask 1B? Or consider Bilingual/token preservation variant for robustness.</w:t>
      </w:r>
    </w:p>
    <w:p w:rsidR="00043480" w:rsidRDefault="00043480" w:rsidP="00043480">
      <w:pPr>
        <w:pStyle w:val="NormalWeb"/>
        <w:spacing w:line="360" w:lineRule="auto"/>
        <w:jc w:val="both"/>
      </w:pPr>
      <w:r>
        <w:t>Experiments</w:t>
      </w:r>
    </w:p>
    <w:p w:rsidR="00DB2EBE" w:rsidRDefault="00DB2EBE" w:rsidP="00DB2EBE">
      <w:pPr>
        <w:pStyle w:val="NormalWeb"/>
        <w:numPr>
          <w:ilvl w:val="0"/>
          <w:numId w:val="4"/>
        </w:numPr>
        <w:spacing w:line="360" w:lineRule="auto"/>
        <w:jc w:val="both"/>
      </w:pPr>
      <w:r>
        <w:t>Results and Inconsistencies</w:t>
      </w:r>
    </w:p>
    <w:p w:rsidR="00DB2EBE" w:rsidRDefault="002E3071" w:rsidP="002E3071">
      <w:pPr>
        <w:pStyle w:val="NormalWeb"/>
        <w:numPr>
          <w:ilvl w:val="1"/>
          <w:numId w:val="4"/>
        </w:numPr>
        <w:spacing w:line="360" w:lineRule="auto"/>
        <w:jc w:val="both"/>
      </w:pPr>
      <w:r>
        <w:t xml:space="preserve">Abstract claims the frozen </w:t>
      </w:r>
      <w:proofErr w:type="spellStart"/>
      <w:r>
        <w:t>BanglaBERT</w:t>
      </w:r>
      <w:proofErr w:type="spellEnd"/>
      <w:r>
        <w:t xml:space="preserve"> + attention gets 0.7178 and unfrozen 0.7149 </w:t>
      </w:r>
      <w:r>
        <w:t>Micro-F1</w:t>
      </w:r>
      <w:r>
        <w:t xml:space="preserve">; later Results/Table 2, the unfrozen </w:t>
      </w:r>
      <w:proofErr w:type="spellStart"/>
      <w:r>
        <w:t>BanglaBERT</w:t>
      </w:r>
      <w:proofErr w:type="spellEnd"/>
      <w:r>
        <w:t xml:space="preserve"> + attention is 0.7178 and frozen 0.7149. Please reconcile the discrepancy throughout the paper. </w:t>
      </w:r>
    </w:p>
    <w:p w:rsidR="002E3071" w:rsidRDefault="002E3071" w:rsidP="002E3071">
      <w:pPr>
        <w:pStyle w:val="NormalWeb"/>
        <w:numPr>
          <w:ilvl w:val="1"/>
          <w:numId w:val="4"/>
        </w:numPr>
        <w:spacing w:line="360" w:lineRule="auto"/>
        <w:jc w:val="both"/>
      </w:pPr>
      <w:r>
        <w:t xml:space="preserve">The Figure is misplaced, under related work which I probably think should appear under results. And instead of accounting for Micro-F1 it accounts for Accuracy with the same values. Please reconcile the discrepancy here as well. </w:t>
      </w:r>
    </w:p>
    <w:p w:rsidR="002E3071" w:rsidRDefault="002E3071" w:rsidP="002E3071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Metrics; </w:t>
      </w:r>
    </w:p>
    <w:p w:rsidR="002E3071" w:rsidRDefault="002E3071" w:rsidP="002E3071">
      <w:pPr>
        <w:pStyle w:val="NormalWeb"/>
        <w:numPr>
          <w:ilvl w:val="1"/>
          <w:numId w:val="4"/>
        </w:numPr>
        <w:spacing w:line="360" w:lineRule="auto"/>
        <w:jc w:val="both"/>
      </w:pPr>
      <w:r>
        <w:t>Report Macro-F1 and per-class metrics; Provide confusion matrix for both tasks in the result (remove confusion matrix from Appendix</w:t>
      </w:r>
      <w:r w:rsidR="00B74301">
        <w:t xml:space="preserve"> for task 1B and add to the subtask confusion matrix). And briefly discuss notable confusions like ABUSIVE vs PROFANE.</w:t>
      </w:r>
    </w:p>
    <w:p w:rsidR="00B74301" w:rsidRDefault="00B74301" w:rsidP="00B74301">
      <w:pPr>
        <w:pStyle w:val="NormalWeb"/>
        <w:numPr>
          <w:ilvl w:val="0"/>
          <w:numId w:val="4"/>
        </w:numPr>
        <w:spacing w:line="360" w:lineRule="auto"/>
        <w:jc w:val="both"/>
      </w:pPr>
      <w:r>
        <w:t>Efficiency</w:t>
      </w:r>
    </w:p>
    <w:p w:rsidR="00B74301" w:rsidRDefault="00B74301" w:rsidP="00B74301">
      <w:pPr>
        <w:pStyle w:val="NormalWeb"/>
        <w:numPr>
          <w:ilvl w:val="1"/>
          <w:numId w:val="4"/>
        </w:numPr>
        <w:spacing w:line="360" w:lineRule="auto"/>
        <w:jc w:val="both"/>
      </w:pPr>
      <w:r>
        <w:t xml:space="preserve">Beyond trainable parameter count and single plot, add training time (wall clock), peak memory and inference latency vs full fine-tuning and if possible, a simple layer fusion baseline. </w:t>
      </w:r>
    </w:p>
    <w:p w:rsidR="00B74301" w:rsidRDefault="00B74301" w:rsidP="00B74301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Ablations: Consider </w:t>
      </w:r>
      <w:proofErr w:type="spellStart"/>
      <w:r>
        <w:t>i</w:t>
      </w:r>
      <w:proofErr w:type="spellEnd"/>
      <w:r>
        <w:t xml:space="preserve">) sharing attention parameters across layers (this curb linear growth with depth), ii) using only top-k layers, iii) swapping projection for gated additive fusion, iv) attention normalization choices, and v) with/without punctuation/code-switch tokens. </w:t>
      </w:r>
    </w:p>
    <w:p w:rsidR="00B74301" w:rsidRDefault="00B74301" w:rsidP="00B74301">
      <w:pPr>
        <w:pStyle w:val="NormalWeb"/>
        <w:spacing w:line="360" w:lineRule="auto"/>
        <w:jc w:val="both"/>
      </w:pPr>
    </w:p>
    <w:p w:rsidR="00B74301" w:rsidRDefault="00B74301" w:rsidP="00B74301">
      <w:pPr>
        <w:pStyle w:val="NormalWeb"/>
        <w:spacing w:line="360" w:lineRule="auto"/>
        <w:jc w:val="both"/>
      </w:pPr>
      <w:r>
        <w:lastRenderedPageBreak/>
        <w:t>Grammat</w:t>
      </w:r>
      <w:r w:rsidR="00617D9D">
        <w:t>ical Comments / nits</w:t>
      </w:r>
    </w:p>
    <w:p w:rsidR="00617D9D" w:rsidRDefault="00617D9D" w:rsidP="00617D9D">
      <w:pPr>
        <w:pStyle w:val="NormalWeb"/>
        <w:numPr>
          <w:ilvl w:val="0"/>
          <w:numId w:val="5"/>
        </w:numPr>
        <w:spacing w:line="360" w:lineRule="auto"/>
        <w:jc w:val="both"/>
      </w:pPr>
      <w:r>
        <w:t>Fix the inconsistent claims about which configuration achieved 0.7178 on Subtask IA (Abstract and Results section)</w:t>
      </w:r>
    </w:p>
    <w:p w:rsidR="00617D9D" w:rsidRDefault="00617D9D" w:rsidP="00617D9D">
      <w:pPr>
        <w:pStyle w:val="NormalWeb"/>
        <w:numPr>
          <w:ilvl w:val="0"/>
          <w:numId w:val="5"/>
        </w:numPr>
        <w:spacing w:line="360" w:lineRule="auto"/>
        <w:jc w:val="both"/>
      </w:pPr>
      <w:r>
        <w:t>Standardize capitalization: “XLM-</w:t>
      </w:r>
      <w:proofErr w:type="spellStart"/>
      <w:r>
        <w:t>RoBERTa</w:t>
      </w:r>
      <w:proofErr w:type="spellEnd"/>
      <w:r>
        <w:t>”, “</w:t>
      </w:r>
      <w:proofErr w:type="spellStart"/>
      <w:r>
        <w:t>BanglaBERT</w:t>
      </w:r>
      <w:proofErr w:type="spellEnd"/>
      <w:r>
        <w:t>”, “Subtask 1A/1B”</w:t>
      </w:r>
    </w:p>
    <w:p w:rsidR="00617D9D" w:rsidRDefault="00617D9D" w:rsidP="00617D9D">
      <w:pPr>
        <w:pStyle w:val="NormalWeb"/>
        <w:numPr>
          <w:ilvl w:val="0"/>
          <w:numId w:val="5"/>
        </w:numPr>
        <w:spacing w:line="360" w:lineRule="auto"/>
        <w:jc w:val="both"/>
      </w:pPr>
      <w:r>
        <w:t>Ensure consistent number formatting (e.g., “F1-</w:t>
      </w:r>
      <w:proofErr w:type="gramStart"/>
      <w:r>
        <w:t>micro 0.7178</w:t>
      </w:r>
      <w:proofErr w:type="gramEnd"/>
      <w:r>
        <w:t>”, baseline “0.7100”)</w:t>
      </w:r>
    </w:p>
    <w:p w:rsidR="005A6BF6" w:rsidRDefault="00617D9D" w:rsidP="005A6BF6">
      <w:pPr>
        <w:pStyle w:val="NormalWeb"/>
        <w:numPr>
          <w:ilvl w:val="0"/>
          <w:numId w:val="5"/>
        </w:numPr>
        <w:spacing w:line="360" w:lineRule="auto"/>
        <w:jc w:val="both"/>
      </w:pPr>
      <w:r>
        <w:t xml:space="preserve">Clarify phrasing such as “very much strong” </w:t>
      </w:r>
      <w:r>
        <w:sym w:font="Wingdings" w:char="F0E0"/>
      </w:r>
      <w:r>
        <w:t xml:space="preserve"> “strong”.</w:t>
      </w:r>
    </w:p>
    <w:p w:rsidR="00617D9D" w:rsidRDefault="00617D9D" w:rsidP="005A6BF6">
      <w:pPr>
        <w:pStyle w:val="NormalWeb"/>
        <w:numPr>
          <w:ilvl w:val="0"/>
          <w:numId w:val="5"/>
        </w:numPr>
        <w:spacing w:line="360" w:lineRule="auto"/>
        <w:jc w:val="both"/>
      </w:pPr>
      <w:r>
        <w:t xml:space="preserve">In Figure 1, check the units, what accuracy reflects </w:t>
      </w:r>
      <w:r>
        <w:sym w:font="Wingdings" w:char="F0E0"/>
      </w:r>
      <w:r>
        <w:t xml:space="preserve"> Subtask 1A dev/test?</w:t>
      </w:r>
    </w:p>
    <w:p w:rsidR="00B43155" w:rsidRDefault="00B43155" w:rsidP="00B43155">
      <w:pPr>
        <w:pStyle w:val="NormalWeb"/>
        <w:spacing w:line="360" w:lineRule="auto"/>
        <w:jc w:val="both"/>
      </w:pPr>
    </w:p>
    <w:p w:rsidR="00B43155" w:rsidRDefault="00B43155" w:rsidP="00B43155">
      <w:pPr>
        <w:pStyle w:val="NormalWeb"/>
        <w:spacing w:line="360" w:lineRule="auto"/>
        <w:jc w:val="both"/>
      </w:pPr>
    </w:p>
    <w:p w:rsidR="00B43155" w:rsidRDefault="00B43155" w:rsidP="00B43155">
      <w:pPr>
        <w:pStyle w:val="NormalWeb"/>
        <w:spacing w:line="360" w:lineRule="auto"/>
        <w:jc w:val="both"/>
      </w:pPr>
      <w:r>
        <w:t xml:space="preserve">Decision: </w:t>
      </w:r>
    </w:p>
    <w:p w:rsidR="00B43155" w:rsidRPr="00617D9D" w:rsidRDefault="00B43155" w:rsidP="00B43155">
      <w:pPr>
        <w:pStyle w:val="NormalWeb"/>
        <w:numPr>
          <w:ilvl w:val="0"/>
          <w:numId w:val="6"/>
        </w:numPr>
        <w:spacing w:line="360" w:lineRule="auto"/>
        <w:jc w:val="both"/>
      </w:pPr>
      <w:r>
        <w:t xml:space="preserve">Weak accept contingent to fixing inconsistencies and tightening report. </w:t>
      </w:r>
    </w:p>
    <w:sectPr w:rsidR="00B43155" w:rsidRPr="00617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B2415"/>
    <w:multiLevelType w:val="hybridMultilevel"/>
    <w:tmpl w:val="EF00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9744C"/>
    <w:multiLevelType w:val="hybridMultilevel"/>
    <w:tmpl w:val="8FE8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52E22"/>
    <w:multiLevelType w:val="hybridMultilevel"/>
    <w:tmpl w:val="11820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C25FF"/>
    <w:multiLevelType w:val="hybridMultilevel"/>
    <w:tmpl w:val="DDB29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124B1"/>
    <w:multiLevelType w:val="hybridMultilevel"/>
    <w:tmpl w:val="EB40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75A6B"/>
    <w:multiLevelType w:val="hybridMultilevel"/>
    <w:tmpl w:val="1F30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103582">
    <w:abstractNumId w:val="5"/>
  </w:num>
  <w:num w:numId="2" w16cid:durableId="1483891557">
    <w:abstractNumId w:val="4"/>
  </w:num>
  <w:num w:numId="3" w16cid:durableId="600184957">
    <w:abstractNumId w:val="1"/>
  </w:num>
  <w:num w:numId="4" w16cid:durableId="430276544">
    <w:abstractNumId w:val="2"/>
  </w:num>
  <w:num w:numId="5" w16cid:durableId="161704825">
    <w:abstractNumId w:val="3"/>
  </w:num>
  <w:num w:numId="6" w16cid:durableId="202632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F6"/>
    <w:rsid w:val="00043480"/>
    <w:rsid w:val="002D4778"/>
    <w:rsid w:val="002E3071"/>
    <w:rsid w:val="005A6BF6"/>
    <w:rsid w:val="00617D9D"/>
    <w:rsid w:val="007D4C68"/>
    <w:rsid w:val="00867337"/>
    <w:rsid w:val="009951D9"/>
    <w:rsid w:val="00A50B68"/>
    <w:rsid w:val="00B43155"/>
    <w:rsid w:val="00B74301"/>
    <w:rsid w:val="00CC28AD"/>
    <w:rsid w:val="00DB2EBE"/>
    <w:rsid w:val="00F174A1"/>
    <w:rsid w:val="00FC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0CB9B"/>
  <w15:chartTrackingRefBased/>
  <w15:docId w15:val="{A61B984C-7304-A44F-82F4-F70D0644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6B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Kobby Anni</dc:creator>
  <cp:keywords/>
  <dc:description/>
  <cp:lastModifiedBy>Isaac Kobby Anni</cp:lastModifiedBy>
  <cp:revision>1</cp:revision>
  <dcterms:created xsi:type="dcterms:W3CDTF">2025-10-17T15:23:00Z</dcterms:created>
  <dcterms:modified xsi:type="dcterms:W3CDTF">2025-10-17T17:19:00Z</dcterms:modified>
</cp:coreProperties>
</file>