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2047875" cy="466725"/>
            <wp:effectExtent t="0" r="0" b="0" l="0"/>
            <wp:docPr id="1" name="logo" descr="Lingo Booth logo" title="Lingo B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47875" cy="466725"/>
                    </a:xfrm>
                    <a:prstGeom prst="rect">
                      <a:avLst/>
                    </a:prstGeom>
                  </pic:spPr>
                </pic:pic>
              </a:graphicData>
            </a:graphic>
          </wp:inline>
        </w:drawing>
      </w:r>
    </w:p>
    <w:p>
      <w:pPr>
        <w:shd w:fill="12402A" w:val="clear"/>
        <w:spacing w:after="160"/>
      </w:pPr>
      <w:r>
        <w:rPr>
          <w:color w:val="CDE3B0"/>
          <w:sz w:val="18"/>
          <w:szCs w:val="18"/>
        </w:rPr>
        <w:t xml:space="preserve">Demo Script &amp; Objection FAQ, Kumoh meeting (Phase 1: graduate evening classes)</w:t>
      </w:r>
    </w:p>
    <w:p>
      <w:pPr>
        <w:pStyle w:val="Heading1"/>
      </w:pPr>
      <w:r>
        <w:t xml:space="preserve">Before the meeting, checklist</w:t>
      </w:r>
    </w:p>
    <w:p>
      <w:pPr>
        <w:pStyle w:val="ListParagraph"/>
        <w:numPr>
          <w:ilvl w:val="0"/>
          <w:numId w:val="2"/>
        </w:numPr>
        <w:spacing w:after="60"/>
      </w:pPr>
      <w:r>
        <w:t xml:space="preserve">Use a clean demo account set up like the evening class: a Korean learner whose first language is NOT English (e.g. Indonesian or Vietnamese), so the multilingual point lands.</w:t>
      </w:r>
    </w:p>
    <w:p>
      <w:pPr>
        <w:pStyle w:val="ListParagraph"/>
        <w:numPr>
          <w:ilvl w:val="0"/>
          <w:numId w:val="2"/>
        </w:numPr>
        <w:spacing w:after="60"/>
      </w:pPr>
      <w:r>
        <w:t xml:space="preserve">Pre-load a class lesson, a few flashcards, and a short conversation so nothing has to generate live.</w:t>
      </w:r>
    </w:p>
    <w:p>
      <w:pPr>
        <w:pStyle w:val="ListParagraph"/>
        <w:numPr>
          <w:ilvl w:val="0"/>
          <w:numId w:val="2"/>
        </w:numPr>
        <w:spacing w:after="60"/>
      </w:pPr>
      <w:r>
        <w:t xml:space="preserve">Have the web app open in one tab and the mobile app ready on a phone or emulator to show parity.</w:t>
      </w:r>
    </w:p>
    <w:p>
      <w:pPr>
        <w:pStyle w:val="ListParagraph"/>
        <w:numPr>
          <w:ilvl w:val="0"/>
          <w:numId w:val="2"/>
        </w:numPr>
        <w:spacing w:after="60"/>
      </w:pPr>
      <w:r>
        <w:t xml:space="preserve">Open the coordinator/admin view in a separate tab so you can switch without logging in/out.</w:t>
      </w:r>
    </w:p>
    <w:p>
      <w:pPr>
        <w:pStyle w:val="ListParagraph"/>
        <w:numPr>
          <w:ilvl w:val="0"/>
          <w:numId w:val="2"/>
        </w:numPr>
        <w:spacing w:after="60"/>
      </w:pPr>
      <w:r>
        <w:t xml:space="preserve">Have a recorded screen capture of the full flow as a fallback if the network or a live generation fails.</w:t>
      </w:r>
    </w:p>
    <w:p>
      <w:pPr>
        <w:pStyle w:val="ListParagraph"/>
        <w:numPr>
          <w:ilvl w:val="0"/>
          <w:numId w:val="2"/>
        </w:numPr>
        <w:spacing w:after="60"/>
      </w:pPr>
      <w:r>
        <w:t xml:space="preserve">Check that every screen you will show is fully translated, no raw keys, no English leaking into a non-English UI.</w:t>
      </w:r>
    </w:p>
    <w:p>
      <w:pPr>
        <w:pStyle w:val="ListParagraph"/>
        <w:numPr>
          <w:ilvl w:val="0"/>
          <w:numId w:val="2"/>
        </w:numPr>
        <w:spacing w:after="60"/>
      </w:pPr>
      <w:r>
        <w:t xml:space="preserve">Bring the printed pilot proposal and the quote sheet (or have them open).</w:t>
      </w:r>
    </w:p>
    <w:p>
      <w:pPr>
        <w:pStyle w:val="Heading1"/>
      </w:pPr>
      <w:r>
        <w:t xml:space="preserve">Live demo flow (10-12 minutes)</w:t>
      </w:r>
    </w:p>
    <w:p>
      <w:pPr>
        <w:pStyle w:val="ListParagraph"/>
        <w:numPr>
          <w:ilvl w:val="0"/>
          <w:numId w:val="3"/>
        </w:numPr>
        <w:spacing w:after="80"/>
      </w:pPr>
      <w:r>
        <w:rPr>
          <w:b/>
          <w:bCs/>
        </w:rPr>
        <w:t xml:space="preserve">Frame it (30s). </w:t>
      </w:r>
      <w:r>
        <w:t xml:space="preserve">“This is what one of your evening-class students would use on the days between sessions, on web or their phone, in their own language.”</w:t>
      </w:r>
    </w:p>
    <w:p>
      <w:pPr>
        <w:pStyle w:val="ListParagraph"/>
        <w:numPr>
          <w:ilvl w:val="0"/>
          <w:numId w:val="3"/>
        </w:numPr>
        <w:spacing w:after="80"/>
      </w:pPr>
      <w:r>
        <w:rPr>
          <w:b/>
          <w:bCs/>
        </w:rPr>
        <w:t xml:space="preserve">Pick the language pair (1 min). </w:t>
      </w:r>
      <w:r>
        <w:t xml:space="preserve">Show choosing Korean from a non-English first language, then briefly switch the UI to another locale and right-to-left (Arabic) to show breadth.</w:t>
      </w:r>
    </w:p>
    <w:p>
      <w:pPr>
        <w:pStyle w:val="ListParagraph"/>
        <w:numPr>
          <w:ilvl w:val="0"/>
          <w:numId w:val="3"/>
        </w:numPr>
        <w:spacing w:after="80"/>
      </w:pPr>
      <w:r>
        <w:rPr>
          <w:b/>
          <w:bCs/>
        </w:rPr>
        <w:t xml:space="preserve">A guided lesson (2 min). </w:t>
      </w:r>
      <w:r>
        <w:t xml:space="preserve">Walk through one class lesson, vocabulary, an example, and a short check, so they see structured curriculum, not a free-for-all chatbot.</w:t>
      </w:r>
    </w:p>
    <w:p>
      <w:pPr>
        <w:pStyle w:val="ListParagraph"/>
        <w:numPr>
          <w:ilvl w:val="0"/>
          <w:numId w:val="3"/>
        </w:numPr>
        <w:spacing w:after="80"/>
      </w:pPr>
      <w:r>
        <w:rPr>
          <w:b/>
          <w:bCs/>
        </w:rPr>
        <w:t xml:space="preserve">Conversation practice (3 min). </w:t>
      </w:r>
      <w:r>
        <w:t xml:space="preserve">Do a short spoken/written exchange. Narrate that it is a guided practice partner tuned to the learner's level.</w:t>
      </w:r>
    </w:p>
    <w:p>
      <w:pPr>
        <w:pStyle w:val="ListParagraph"/>
        <w:numPr>
          <w:ilvl w:val="0"/>
          <w:numId w:val="3"/>
        </w:numPr>
        <w:spacing w:after="80"/>
      </w:pPr>
      <w:r>
        <w:rPr>
          <w:b/>
          <w:bCs/>
        </w:rPr>
        <w:t xml:space="preserve">Flashcards + quiz (1.5 min). </w:t>
      </w:r>
      <w:r>
        <w:t xml:space="preserve">Show spaced-repetition practice and a quick quiz to demonstrate retention tools.</w:t>
      </w:r>
    </w:p>
    <w:p>
      <w:pPr>
        <w:pStyle w:val="ListParagraph"/>
        <w:numPr>
          <w:ilvl w:val="0"/>
          <w:numId w:val="3"/>
        </w:numPr>
        <w:spacing w:after="80"/>
      </w:pPr>
      <w:r>
        <w:rPr>
          <w:b/>
          <w:bCs/>
        </w:rPr>
        <w:t xml:space="preserve">Coordinator view (2 min). </w:t>
      </w:r>
      <w:r>
        <w:t xml:space="preserve">Switch to the progress reports: who is active, who is struggling, progress over time. This is the screen that sells the coordinator.</w:t>
      </w:r>
    </w:p>
    <w:p>
      <w:pPr>
        <w:pStyle w:val="ListParagraph"/>
        <w:numPr>
          <w:ilvl w:val="0"/>
          <w:numId w:val="3"/>
        </w:numPr>
        <w:spacing w:after="80"/>
      </w:pPr>
      <w:r>
        <w:rPr>
          <w:b/>
          <w:bCs/>
        </w:rPr>
        <w:t xml:space="preserve">Placement test + certificate (1 min). </w:t>
      </w:r>
      <w:r>
        <w:t xml:space="preserve">Show the level test for placement and a completion certificate as the recognized outcome.</w:t>
      </w:r>
    </w:p>
    <w:p>
      <w:pPr>
        <w:pStyle w:val="ListParagraph"/>
        <w:numPr>
          <w:ilvl w:val="0"/>
          <w:numId w:val="3"/>
        </w:numPr>
        <w:spacing w:after="80"/>
      </w:pPr>
      <w:r>
        <w:rPr>
          <w:b/>
          <w:bCs/>
        </w:rPr>
        <w:t xml:space="preserve">Close (30s). </w:t>
      </w:r>
      <w:r>
        <w:t xml:space="preserve">“This gives your twice-weekly evening classes daily reach, in every student's own language. Shall we set up a one-semester pilot?”</w:t>
      </w:r>
    </w:p>
    <w:p>
      <w:pPr>
        <w:pStyle w:val="Heading1"/>
      </w:pPr>
      <w:r>
        <w:t xml:space="preserve">Objection &amp; question FAQ</w:t>
      </w:r>
    </w:p>
    <w:p>
      <w:pPr>
        <w:pStyle w:val="Heading2"/>
      </w:pPr>
      <w:r>
        <w:t xml:space="preserve">Why this group, why now</w:t>
      </w:r>
    </w:p>
    <w:p>
      <w:pPr>
        <w:spacing w:after="40" w:before="160"/>
      </w:pPr>
      <w:r>
        <w:rPr>
          <w:b/>
          <w:bCs/>
          <w:color w:val="3E7A1C"/>
        </w:rPr>
        <w:t xml:space="preserve">Q.  </w:t>
      </w:r>
      <w:r>
        <w:rPr>
          <w:b/>
          <w:bCs/>
          <w:color w:val="3E7A1C"/>
        </w:rPr>
        <w:t xml:space="preserve">Why start with the free evening classes rather than the year-long language program?</w:t>
      </w:r>
    </w:p>
    <w:p>
      <w:pPr>
        <w:spacing w:after="80"/>
      </w:pPr>
      <w:r>
        <w:rPr>
          <w:b/>
          <w:bCs/>
        </w:rPr>
        <w:t xml:space="preserve">A.  </w:t>
      </w:r>
      <w:r>
        <w:t xml:space="preserve">Three reasons. The need is sharpest, with only about two sessions a week, students need practice in between. The fit is cleanest, the evening classes are a flexible support service, so the platform complements them without conflicting with a fixed syllabus, whereas the year-long program has an established curriculum we would need to map onto first. And it is the lowest-risk first step for both sides, which is exactly what a founding pilot should be.</w:t>
      </w:r>
    </w:p>
    <w:p>
      <w:pPr>
        <w:spacing w:after="40" w:before="160"/>
      </w:pPr>
      <w:r>
        <w:rPr>
          <w:b/>
          <w:bCs/>
          <w:color w:val="3E7A1C"/>
        </w:rPr>
        <w:t xml:space="preserve">Q.  </w:t>
      </w:r>
      <w:r>
        <w:rPr>
          <w:b/>
          <w:bCs/>
          <w:color w:val="3E7A1C"/>
        </w:rPr>
        <w:t xml:space="preserve">When would the year-long language program come in?</w:t>
      </w:r>
    </w:p>
    <w:p>
      <w:pPr>
        <w:spacing w:after="80"/>
      </w:pPr>
      <w:r>
        <w:rPr>
          <w:b/>
          <w:bCs/>
        </w:rPr>
        <w:t xml:space="preserve">A.  </w:t>
      </w:r>
      <w:r>
        <w:t xml:space="preserve">As Phase 2, once the evening-class pilot has shown results. Bringing the platform into the language program means mapping our lessons and sequencing onto its existing curriculum so it reinforces what teachers already deliver, a larger piece of work we would scope separately, on the back of a proven pilot.</w:t>
      </w:r>
    </w:p>
    <w:p>
      <w:pPr>
        <w:pStyle w:val="Heading2"/>
      </w:pPr>
      <w:r>
        <w:t xml:space="preserve">Product &amp; pedagogy</w:t>
      </w:r>
    </w:p>
    <w:p>
      <w:pPr>
        <w:spacing w:after="40" w:before="160"/>
      </w:pPr>
      <w:r>
        <w:rPr>
          <w:b/>
          <w:bCs/>
          <w:color w:val="3E7A1C"/>
        </w:rPr>
        <w:t xml:space="preserve">Q.  </w:t>
      </w:r>
      <w:r>
        <w:rPr>
          <w:b/>
          <w:bCs/>
          <w:color w:val="3E7A1C"/>
        </w:rPr>
        <w:t xml:space="preserve">Is this just ChatGPT with a wrapper?</w:t>
      </w:r>
    </w:p>
    <w:p>
      <w:pPr>
        <w:spacing w:after="80"/>
      </w:pPr>
      <w:r>
        <w:rPr>
          <w:b/>
          <w:bCs/>
        </w:rPr>
        <w:t xml:space="preserve">A.  </w:t>
      </w:r>
      <w:r>
        <w:t xml:space="preserve">No. The conversation partner is built for language learning: it stays at the learner's level, keeps practice in the target language, follows a structured curriculum, and feeds the same progress tracking coordinators see. We use language-model technology under the hood, but the learner experience is a guided practice partner and lesson flow, not an open chatbot.</w:t>
      </w:r>
    </w:p>
    <w:p>
      <w:pPr>
        <w:spacing w:after="40" w:before="160"/>
      </w:pPr>
      <w:r>
        <w:rPr>
          <w:b/>
          <w:bCs/>
          <w:color w:val="3E7A1C"/>
        </w:rPr>
        <w:t xml:space="preserve">Q.  </w:t>
      </w:r>
      <w:r>
        <w:rPr>
          <w:b/>
          <w:bCs/>
          <w:color w:val="3E7A1C"/>
        </w:rPr>
        <w:t xml:space="preserve">Does it replace our teachers?</w:t>
      </w:r>
    </w:p>
    <w:p>
      <w:pPr>
        <w:spacing w:after="80"/>
      </w:pPr>
      <w:r>
        <w:rPr>
          <w:b/>
          <w:bCs/>
        </w:rPr>
        <w:t xml:space="preserve">A.  </w:t>
      </w:r>
      <w:r>
        <w:t xml:space="preserve">No, it supports them. With only about two evening sessions a week, the platform extends that limited contact time with practice in between; teaching and assessment stay with your instructors. It adds reach to the investment Kumoh already makes in those classes.</w:t>
      </w:r>
    </w:p>
    <w:p>
      <w:pPr>
        <w:spacing w:after="40" w:before="160"/>
      </w:pPr>
      <w:r>
        <w:rPr>
          <w:b/>
          <w:bCs/>
          <w:color w:val="3E7A1C"/>
        </w:rPr>
        <w:t xml:space="preserve">Q.  </w:t>
      </w:r>
      <w:r>
        <w:rPr>
          <w:b/>
          <w:bCs/>
          <w:color w:val="3E7A1C"/>
        </w:rPr>
        <w:t xml:space="preserve">Which languages do you support?</w:t>
      </w:r>
    </w:p>
    <w:p>
      <w:pPr>
        <w:spacing w:after="80"/>
      </w:pPr>
      <w:r>
        <w:rPr>
          <w:b/>
          <w:bCs/>
        </w:rPr>
        <w:t xml:space="preserve">A.  </w:t>
      </w:r>
      <w:r>
        <w:t xml:space="preserve">Twenty, including Korean and English, and any native-to-target pairing among them. For this cohort that matters: a student whose first language is Indonesian, Vietnamese, Arabic, Chinese or Hindi can learn Korean from their own language, not only through English.</w:t>
      </w:r>
    </w:p>
    <w:p>
      <w:pPr>
        <w:spacing w:after="40" w:before="160"/>
      </w:pPr>
      <w:r>
        <w:rPr>
          <w:b/>
          <w:bCs/>
          <w:color w:val="3E7A1C"/>
        </w:rPr>
        <w:t xml:space="preserve">Q.  </w:t>
      </w:r>
      <w:r>
        <w:rPr>
          <w:b/>
          <w:bCs/>
          <w:color w:val="3E7A1C"/>
        </w:rPr>
        <w:t xml:space="preserve">Is the content appropriate for graduate learners and real Korean, not translated filler?</w:t>
      </w:r>
    </w:p>
    <w:p>
      <w:pPr>
        <w:spacing w:after="80"/>
      </w:pPr>
      <w:r>
        <w:rPr>
          <w:b/>
          <w:bCs/>
        </w:rPr>
        <w:t xml:space="preserve">A.  </w:t>
      </w:r>
      <w:r>
        <w:t xml:space="preserve">Content is authored per target language rather than translated from one source language. We can walk your coordinators through sample lessons for sign-off before the pilot.</w:t>
      </w:r>
    </w:p>
    <w:p>
      <w:pPr>
        <w:spacing w:after="40" w:before="160"/>
      </w:pPr>
      <w:r>
        <w:rPr>
          <w:b/>
          <w:bCs/>
          <w:color w:val="3E7A1C"/>
        </w:rPr>
        <w:t xml:space="preserve">Q.  </w:t>
      </w:r>
      <w:r>
        <w:rPr>
          <w:b/>
          <w:bCs/>
          <w:color w:val="3E7A1C"/>
        </w:rPr>
        <w:t xml:space="preserve">Does it work on phones and tablets, and for right-to-left languages?</w:t>
      </w:r>
    </w:p>
    <w:p>
      <w:pPr>
        <w:spacing w:after="80"/>
      </w:pPr>
      <w:r>
        <w:rPr>
          <w:b/>
          <w:bCs/>
        </w:rPr>
        <w:t xml:space="preserve">A.  </w:t>
      </w:r>
      <w:r>
        <w:t xml:space="preserve">Yes. There are parallel web and mobile (iOS + Android) apps for phone, tablet and desktop, and the interface supports right-to-left languages such as Arabic.</w:t>
      </w:r>
    </w:p>
    <w:p>
      <w:pPr>
        <w:spacing w:after="40" w:before="160"/>
      </w:pPr>
      <w:r>
        <w:rPr>
          <w:b/>
          <w:bCs/>
          <w:color w:val="3E7A1C"/>
        </w:rPr>
        <w:t xml:space="preserve">Q.  </w:t>
      </w:r>
      <w:r>
        <w:rPr>
          <w:b/>
          <w:bCs/>
          <w:color w:val="3E7A1C"/>
        </w:rPr>
        <w:t xml:space="preserve">What exactly do the completion certificates certify?</w:t>
      </w:r>
    </w:p>
    <w:p>
      <w:pPr>
        <w:spacing w:after="80"/>
      </w:pPr>
      <w:r>
        <w:rPr>
          <w:b/>
          <w:bCs/>
        </w:rPr>
        <w:t xml:space="preserve">A.  </w:t>
      </w:r>
      <w:r>
        <w:t xml:space="preserve">They certify that a learner completed a Lingo Booth course or practice track, a record of completion and participation. They are not accredited qualifications, formal academic credentials, or official proficiency certifications such as TOPIK, and any level shown is Lingo Booth’s own internal assessment. Certificates can be co-branded with Kumoh by written agreement, using wording the Center approves.</w:t>
      </w:r>
    </w:p>
    <w:p>
      <w:pPr>
        <w:pStyle w:val="Heading2"/>
      </w:pPr>
      <w:r>
        <w:t xml:space="preserve">IT, security &amp; privacy</w:t>
      </w:r>
    </w:p>
    <w:p>
      <w:pPr>
        <w:spacing w:after="40" w:before="160"/>
      </w:pPr>
      <w:r>
        <w:rPr>
          <w:b/>
          <w:bCs/>
          <w:color w:val="3E7A1C"/>
        </w:rPr>
        <w:t xml:space="preserve">Q.  </w:t>
      </w:r>
      <w:r>
        <w:rPr>
          <w:b/>
          <w:bCs/>
          <w:color w:val="3E7A1C"/>
        </w:rPr>
        <w:t xml:space="preserve">Where is student data stored, and who processes it?</w:t>
      </w:r>
    </w:p>
    <w:p>
      <w:pPr>
        <w:spacing w:after="80"/>
      </w:pPr>
      <w:r>
        <w:rPr>
          <w:b/>
          <w:bCs/>
        </w:rPr>
        <w:t xml:space="preserve">A.  </w:t>
      </w:r>
      <w:r>
        <w:t xml:space="preserve">We will provide a written data-processing summary before the pilot. In plain terms: accounts and progress are stored in our database; conversation practice is processed by a third-party language-model provider; transactional email is sent through an email provider; and sign-in can use Google. We will name each processor and the data it sees so your office can review it.</w:t>
      </w:r>
    </w:p>
    <w:p>
      <w:pPr>
        <w:spacing w:after="40" w:before="160"/>
      </w:pPr>
      <w:r>
        <w:rPr>
          <w:b/>
          <w:bCs/>
          <w:color w:val="3E7A1C"/>
        </w:rPr>
        <w:t xml:space="preserve">Q.  </w:t>
      </w:r>
      <w:r>
        <w:rPr>
          <w:b/>
          <w:bCs/>
          <w:color w:val="3E7A1C"/>
        </w:rPr>
        <w:t xml:space="preserve">How do you comply with Korea's privacy law (PIPA)?</w:t>
      </w:r>
    </w:p>
    <w:p>
      <w:pPr>
        <w:spacing w:after="80"/>
      </w:pPr>
      <w:r>
        <w:rPr>
          <w:b/>
          <w:bCs/>
        </w:rPr>
        <w:t xml:space="preserve">A.  </w:t>
      </w:r>
      <w:r>
        <w:t xml:space="preserve">We handle personal data only to operate the service and will sign a data-processing agreement. Because some processing happens outside Korea, we will disclose the cross-border transfers and the providers involved so consent and notice can be handled correctly. We are happy to work through your office's checklist.</w:t>
      </w:r>
    </w:p>
    <w:p>
      <w:pPr>
        <w:spacing w:after="40" w:before="160"/>
      </w:pPr>
      <w:r>
        <w:rPr>
          <w:b/>
          <w:bCs/>
          <w:color w:val="3E7A1C"/>
        </w:rPr>
        <w:t xml:space="preserve">Q.  </w:t>
      </w:r>
      <w:r>
        <w:rPr>
          <w:b/>
          <w:bCs/>
          <w:color w:val="3E7A1C"/>
        </w:rPr>
        <w:t xml:space="preserve">Do you support single sign-on or integrate with our LMS?</w:t>
      </w:r>
    </w:p>
    <w:p>
      <w:pPr>
        <w:spacing w:after="80"/>
      </w:pPr>
      <w:r>
        <w:rPr>
          <w:b/>
          <w:bCs/>
        </w:rPr>
        <w:t xml:space="preserve">A.  </w:t>
      </w:r>
      <w:r>
        <w:t xml:space="preserve">Google sign-in is supported today. Institutional SSO and LMS integration are on the roadmap rather than shipping today. For this pilot, the evening-class cohort can be onboarded by invitation, which needs no integration.</w:t>
      </w:r>
    </w:p>
    <w:p>
      <w:pPr>
        <w:pStyle w:val="Heading2"/>
      </w:pPr>
      <w:r>
        <w:t xml:space="preserve">Pricing &amp; commercial</w:t>
      </w:r>
    </w:p>
    <w:p>
      <w:pPr>
        <w:spacing w:after="40" w:before="160"/>
      </w:pPr>
      <w:r>
        <w:rPr>
          <w:b/>
          <w:bCs/>
          <w:color w:val="3E7A1C"/>
        </w:rPr>
        <w:t xml:space="preserve">Q.  </w:t>
      </w:r>
      <w:r>
        <w:rPr>
          <w:b/>
          <w:bCs/>
          <w:color w:val="3E7A1C"/>
        </w:rPr>
        <w:t xml:space="preserve">What exactly is a seat, and how does it behave?</w:t>
      </w:r>
    </w:p>
    <w:p>
      <w:pPr>
        <w:spacing w:after="80"/>
      </w:pPr>
      <w:r>
        <w:rPr>
          <w:b/>
          <w:bCs/>
        </w:rPr>
        <w:t xml:space="preserve">A.  </w:t>
      </w:r>
      <w:r>
        <w:t xml:space="preserve">A seat is 30 days of full access for one learner, drawn from a pool the institution buys up front. A learner’s seat activates when they start using Lingo Booth and runs for 30 days; while they keep learning it renews automatically from the pool, one seat at a time,  so a continuously active learner uses about four seats across a September-December semester. A learner only ever holds one seat at a time, and unused seats in the pool stay valid for a year. If the pool empties, affected learners pause until the Center tops it up, so we size the pilot pool for the whole semester and watch it for you.</w:t>
      </w:r>
    </w:p>
    <w:p>
      <w:pPr>
        <w:spacing w:after="40" w:before="160"/>
      </w:pPr>
      <w:r>
        <w:rPr>
          <w:b/>
          <w:bCs/>
          <w:color w:val="3E7A1C"/>
        </w:rPr>
        <w:t xml:space="preserve">Q.  </w:t>
      </w:r>
      <w:r>
        <w:rPr>
          <w:b/>
          <w:bCs/>
          <w:color w:val="3E7A1C"/>
        </w:rPr>
        <w:t xml:space="preserve">How does pricing work?</w:t>
      </w:r>
    </w:p>
    <w:p>
      <w:pPr>
        <w:spacing w:after="80"/>
      </w:pPr>
      <w:r>
        <w:rPr>
          <w:b/>
          <w:bCs/>
        </w:rPr>
        <w:t xml:space="preserve">A.  </w:t>
      </w:r>
      <w:r>
        <w:t xml:space="preserve">Institutions buy seats, billed once by invoice,  not a recurring subscription. Each seat is 30 days of access drawn from a prepaid pool, and a learner uses about four across the September-December semester, so the seat count is learners times the months in the semester. Price per seat drops with volume, and every institution tier starts at a 10-seat minimum.</w:t>
      </w:r>
    </w:p>
    <w:p>
      <w:pPr>
        <w:spacing w:after="40" w:before="160"/>
      </w:pPr>
      <w:r>
        <w:rPr>
          <w:b/>
          <w:bCs/>
          <w:color w:val="3E7A1C"/>
        </w:rPr>
        <w:t xml:space="preserve">Q.  </w:t>
      </w:r>
      <w:r>
        <w:rPr>
          <w:b/>
          <w:bCs/>
          <w:color w:val="3E7A1C"/>
        </w:rPr>
        <w:t xml:space="preserve">Why are seats 30 days instead of a semester?</w:t>
      </w:r>
    </w:p>
    <w:p>
      <w:pPr>
        <w:spacing w:after="80"/>
      </w:pPr>
      <w:r>
        <w:rPr>
          <w:b/>
          <w:bCs/>
        </w:rPr>
        <w:t xml:space="preserve">A.  </w:t>
      </w:r>
      <w:r>
        <w:t xml:space="preserve">That is how access is metered. It does not change the learner experience: a learner’s access renews automatically from the pool every 30 days while they stay active, and we size the pilot pool to cover the whole semester so no student is interrupted. The quote already reflects full-semester coverage,  about four seats per learner.</w:t>
      </w:r>
    </w:p>
    <w:p>
      <w:pPr>
        <w:spacing w:after="40" w:before="160"/>
      </w:pPr>
      <w:r>
        <w:rPr>
          <w:b/>
          <w:bCs/>
          <w:color w:val="3E7A1C"/>
        </w:rPr>
        <w:t xml:space="preserve">Q.  </w:t>
      </w:r>
      <w:r>
        <w:rPr>
          <w:b/>
          <w:bCs/>
          <w:color w:val="3E7A1C"/>
        </w:rPr>
        <w:t xml:space="preserve">Can you do a purchase order / invoice rather than a card?</w:t>
      </w:r>
    </w:p>
    <w:p>
      <w:pPr>
        <w:spacing w:after="80"/>
      </w:pPr>
      <w:r>
        <w:rPr>
          <w:b/>
          <w:bCs/>
        </w:rPr>
        <w:t xml:space="preserve">A.  </w:t>
      </w:r>
      <w:r>
        <w:t xml:space="preserve">Yes, invoice and purchase order are the standard route for institutions, with no card or auto-renewal.</w:t>
      </w:r>
    </w:p>
    <w:p>
      <w:pPr>
        <w:spacing w:after="40" w:before="160"/>
      </w:pPr>
      <w:r>
        <w:rPr>
          <w:b/>
          <w:bCs/>
          <w:color w:val="3E7A1C"/>
        </w:rPr>
        <w:t xml:space="preserve">Q.  </w:t>
      </w:r>
      <w:r>
        <w:rPr>
          <w:b/>
          <w:bCs/>
          <w:color w:val="3E7A1C"/>
        </w:rPr>
        <w:t xml:space="preserve">What does it actually cost us?</w:t>
      </w:r>
    </w:p>
    <w:p>
      <w:pPr>
        <w:spacing w:after="80"/>
      </w:pPr>
      <w:r>
        <w:rPr>
          <w:b/>
          <w:bCs/>
        </w:rPr>
        <w:t xml:space="preserve">A.  </w:t>
      </w:r>
      <w:r>
        <w:t xml:space="preserve">On Institution Pro, a 40-student evening-class cohort for one semester is $2,734 at list, or $1,367 with the founding-partner discount, about $34 per student for the semester. Institution Plus is a lower-cost option (about $683 after discount for the same cohort) but does not include progress reports. The quote sheet shows every cohort size from 3 to 50.</w:t>
      </w:r>
    </w:p>
    <w:p>
      <w:pPr>
        <w:spacing w:after="40" w:before="160"/>
      </w:pPr>
      <w:r>
        <w:rPr>
          <w:b/>
          <w:bCs/>
          <w:color w:val="3E7A1C"/>
        </w:rPr>
        <w:t xml:space="preserve">Q.  </w:t>
      </w:r>
      <w:r>
        <w:rPr>
          <w:b/>
          <w:bCs/>
          <w:color w:val="3E7A1C"/>
        </w:rPr>
        <w:t xml:space="preserve">What is the minimum?</w:t>
      </w:r>
    </w:p>
    <w:p>
      <w:pPr>
        <w:spacing w:after="80"/>
      </w:pPr>
      <w:r>
        <w:rPr>
          <w:b/>
          <w:bCs/>
        </w:rPr>
        <w:t xml:space="preserve">A.  </w:t>
      </w:r>
      <w:r>
        <w:t xml:space="preserve">All institution tiers start at 10 seats. Because a semester needs several seats per student, even a small evening class clears the minimum comfortably.</w:t>
      </w:r>
    </w:p>
    <w:p>
      <w:pPr>
        <w:pStyle w:val="Heading2"/>
      </w:pPr>
      <w:r>
        <w:t xml:space="preserve">Risk &amp; maturity</w:t>
      </w:r>
    </w:p>
    <w:p>
      <w:pPr>
        <w:spacing w:after="40" w:before="160"/>
      </w:pPr>
      <w:r>
        <w:rPr>
          <w:b/>
          <w:bCs/>
          <w:color w:val="3E7A1C"/>
        </w:rPr>
        <w:t xml:space="preserve">Q.  </w:t>
      </w:r>
      <w:r>
        <w:rPr>
          <w:b/>
          <w:bCs/>
          <w:color w:val="3E7A1C"/>
        </w:rPr>
        <w:t xml:space="preserve">How many universities already use this?</w:t>
      </w:r>
    </w:p>
    <w:p>
      <w:pPr>
        <w:spacing w:after="80"/>
      </w:pPr>
      <w:r>
        <w:rPr>
          <w:b/>
          <w:bCs/>
        </w:rPr>
        <w:t xml:space="preserve">A.  </w:t>
      </w:r>
      <w:r>
        <w:t xml:space="preserve">You would be a founding institutional partner. That is why we are offering founding-partner pricing and direct access to the team: your feedback shapes the product, and you get senior attention a large vendor would not give a cohort your size.</w:t>
      </w:r>
    </w:p>
    <w:p>
      <w:pPr>
        <w:spacing w:after="40" w:before="160"/>
      </w:pPr>
      <w:r>
        <w:rPr>
          <w:b/>
          <w:bCs/>
          <w:color w:val="3E7A1C"/>
        </w:rPr>
        <w:t xml:space="preserve">Q.  </w:t>
      </w:r>
      <w:r>
        <w:rPr>
          <w:b/>
          <w:bCs/>
          <w:color w:val="3E7A1C"/>
        </w:rPr>
        <w:t xml:space="preserve">What if our students don't use it?</w:t>
      </w:r>
    </w:p>
    <w:p>
      <w:pPr>
        <w:spacing w:after="80"/>
      </w:pPr>
      <w:r>
        <w:rPr>
          <w:b/>
          <w:bCs/>
        </w:rPr>
        <w:t xml:space="preserve">A.  </w:t>
      </w:r>
      <w:r>
        <w:t xml:space="preserve">We agree success metrics up front, calibrated for a supplementary support program, and review them at the midpoint and end of semester. If the pilot does not hit the agreed targets, there is no obligation to continue.</w:t>
      </w:r>
    </w:p>
    <w:p>
      <w:pPr>
        <w:spacing w:after="40" w:before="160"/>
      </w:pPr>
      <w:r>
        <w:rPr>
          <w:b/>
          <w:bCs/>
          <w:color w:val="3E7A1C"/>
        </w:rPr>
        <w:t xml:space="preserve">Q.  </w:t>
      </w:r>
      <w:r>
        <w:rPr>
          <w:b/>
          <w:bCs/>
          <w:color w:val="3E7A1C"/>
        </w:rPr>
        <w:t xml:space="preserve">What happens to learner accounts after the pilot?</w:t>
      </w:r>
    </w:p>
    <w:p>
      <w:pPr>
        <w:spacing w:after="80"/>
      </w:pPr>
      <w:r>
        <w:rPr>
          <w:b/>
          <w:bCs/>
        </w:rPr>
        <w:t xml:space="preserve">A.  </w:t>
      </w:r>
      <w:r>
        <w:t xml:space="preserve">We will set out data handling at the end of the pilot in the data-processing summary, including retention and deletion, so your office knows exactly what happens to student data if you choose not to continue.</w:t>
      </w:r>
    </w:p>
    <w:p>
      <w:pPr>
        <w:pStyle w:val="Heading1"/>
      </w:pPr>
      <w:r>
        <w:t xml:space="preserve">One-line positioning to remember</w:t>
      </w:r>
    </w:p>
    <w:p>
      <w:pPr>
        <w:spacing w:after="120"/>
      </w:pPr>
      <w:r>
        <w:rPr>
          <w:color w:val="12402A"/>
        </w:rPr>
        <w:t xml:space="preserve">“Your evening classes meet twice a week, Lingo Booth gives those students daily practice in between, in their own language, with the progress reports your coordinators need.”</w:t>
      </w:r>
    </w:p>
    <w:sectPr>
      <w:footerReference w:type="default" r:id="rId7"/>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Lingo Booth  -  Demo Script &amp; FAQ  -  Kumoh meeting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2402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3E7A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f4865dc299e9358170cd8cc07ab6e779960af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2026-06-07T17:24:12.770Z</dcterms:created>
  <dcterms:modified xsi:type="dcterms:W3CDTF">2026-06-07T17:24:12.770Z</dcterms:modified>
</cp:coreProperties>
</file>

<file path=docProps/custom.xml><?xml version="1.0" encoding="utf-8"?>
<Properties xmlns="http://schemas.openxmlformats.org/officeDocument/2006/custom-properties" xmlns:vt="http://schemas.openxmlformats.org/officeDocument/2006/docPropsVTypes"/>
</file>