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2047875" cy="466725"/>
            <wp:effectExtent t="0" r="0" b="0" l="0"/>
            <wp:docPr id="1" name="logo" descr="Lingo Booth logo" title="Lingo B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47875" cy="466725"/>
                    </a:xfrm>
                    <a:prstGeom prst="rect">
                      <a:avLst/>
                    </a:prstGeom>
                  </pic:spPr>
                </pic:pic>
              </a:graphicData>
            </a:graphic>
          </wp:inline>
        </w:drawing>
      </w:r>
    </w:p>
    <w:p>
      <w:pPr>
        <w:shd w:fill="12402A" w:val="clear"/>
        <w:spacing w:after="160"/>
      </w:pPr>
      <w:r>
        <w:rPr>
          <w:color w:val="CDE3B0"/>
          <w:sz w:val="20"/>
          <w:szCs w:val="20"/>
        </w:rPr>
        <w:t xml:space="preserve">Partnership Pilot Proposal</w:t>
      </w:r>
    </w:p>
    <w:p>
      <w:pPr>
        <w:spacing w:after="120"/>
      </w:pPr>
      <w:r>
        <w:rPr>
          <w:b/>
          <w:bCs/>
        </w:rPr>
        <w:t xml:space="preserve">Prepared for:  </w:t>
      </w:r>
      <w:r>
        <w:t xml:space="preserve">Kumoh National Institute of Technology, International Programs &amp; Language Education Center, Gumi, Republic of Korea</w:t>
      </w:r>
    </w:p>
    <w:p>
      <w:pPr>
        <w:spacing w:after="120"/>
      </w:pPr>
      <w:r>
        <w:rPr>
          <w:b/>
          <w:bCs/>
        </w:rPr>
        <w:t xml:space="preserve">Prepared by:  </w:t>
      </w:r>
      <w:r>
        <w:t xml:space="preserve">Dr Ikechi Saviour Igboanusi (PhD), Lingo Booth</w:t>
      </w:r>
    </w:p>
    <w:p>
      <w:pPr>
        <w:spacing w:after="120"/>
      </w:pPr>
      <w:r>
        <w:rPr>
          <w:b/>
          <w:bCs/>
        </w:rPr>
        <w:t xml:space="preserve">Date:  </w:t>
      </w:r>
      <w:r>
        <w:t xml:space="preserve">June 2026</w:t>
      </w:r>
    </w:p>
    <w:p>
      <w:pPr>
        <w:pStyle w:val="Heading1"/>
      </w:pPr>
      <w:r>
        <w:t xml:space="preserve">1. Summary</w:t>
      </w:r>
    </w:p>
    <w:p>
      <w:pPr>
        <w:spacing w:after="120"/>
      </w:pPr>
      <w:r>
        <w:t xml:space="preserve">Lingo Booth proposes a fall pilot with Kumoh National Institute of Technology, built around two distinct tracks. Track A, the Korean evening classes for international graduate students, is our priority and the anchor of the pilot; it gives those students daily guided practice in their own language between the twice-weekly sessions. Track B, the Korean Language Program, runs in parallel for the full-time language students across the fall intake, while we map our content onto the program's established curriculum. Lingo Booth (web and mobile) gives every learner guided lessons, conversation practice, and self-study tools, and gives coordinators a clear view of who is engaging and progressing. We are seeking Kumoh as a founding institutional partner and offer founding-partner pricing in exchange for feedback that shapes the product.</w:t>
      </w:r>
    </w:p>
    <w:p>
      <w:pPr>
        <w:pStyle w:val="Heading1"/>
      </w:pPr>
      <w:r>
        <w:t xml:space="preserve">2. The two tracks</w:t>
      </w:r>
    </w:p>
    <w:p>
      <w:pPr>
        <w:spacing w:after="120"/>
      </w:pPr>
      <w:r>
        <w:t xml:space="preserve">The pilot runs both tracks this fall, but the evening classes are deliberately the priority and the anchor. We lead there because that is where the platform adds the most value with the least friction:</w:t>
      </w:r>
    </w:p>
    <w:p>
      <w:pPr>
        <w:pStyle w:val="ListParagraph"/>
        <w:numPr>
          <w:ilvl w:val="0"/>
          <w:numId w:val="2"/>
        </w:numPr>
        <w:spacing w:after="60"/>
      </w:pPr>
      <w:r>
        <w:rPr>
          <w:b/>
          <w:bCs/>
        </w:rPr>
        <w:t xml:space="preserve">The need is sharpest. </w:t>
      </w:r>
      <w:r>
        <w:t xml:space="preserve">With only about two evening sessions a week, contact time is limited; a self-study companion extends it without adding teaching hours.</w:t>
      </w:r>
    </w:p>
    <w:p>
      <w:pPr>
        <w:pStyle w:val="ListParagraph"/>
        <w:numPr>
          <w:ilvl w:val="0"/>
          <w:numId w:val="2"/>
        </w:numPr>
        <w:spacing w:after="60"/>
      </w:pPr>
      <w:r>
        <w:rPr>
          <w:b/>
          <w:bCs/>
        </w:rPr>
        <w:t xml:space="preserve">The fit is strongest. </w:t>
      </w:r>
      <w:r>
        <w:t xml:space="preserve">These students arrive speaking many languages, and Lingo Booth can teach Korean from each student's own language rather than only through English.</w:t>
      </w:r>
    </w:p>
    <w:p>
      <w:pPr>
        <w:pStyle w:val="ListParagraph"/>
        <w:numPr>
          <w:ilvl w:val="0"/>
          <w:numId w:val="2"/>
        </w:numPr>
        <w:spacing w:after="60"/>
      </w:pPr>
      <w:r>
        <w:rPr>
          <w:b/>
          <w:bCs/>
        </w:rPr>
        <w:t xml:space="preserve">Low integration friction. </w:t>
      </w:r>
      <w:r>
        <w:t xml:space="preserve">The evening classes are a flexible support service, so the platform complements them without conflicting with a fixed syllabus.</w:t>
      </w:r>
    </w:p>
    <w:p>
      <w:pPr>
        <w:pStyle w:val="ListParagraph"/>
        <w:numPr>
          <w:ilvl w:val="0"/>
          <w:numId w:val="2"/>
        </w:numPr>
        <w:spacing w:after="60"/>
      </w:pPr>
      <w:r>
        <w:rPr>
          <w:b/>
          <w:bCs/>
        </w:rPr>
        <w:t xml:space="preserve">A realistic first win. </w:t>
      </w:r>
      <w:r>
        <w:t xml:space="preserve">Expectations there are appropriately calibrated, so success is achievable and credible.</w:t>
      </w:r>
    </w:p>
    <w:p>
      <w:pPr>
        <w:spacing w:after="120"/>
      </w:pPr>
      <w:r>
        <w:t xml:space="preserve">The Language Program is included from the start because its students are motivated, full-time learners who will use the platform daily and generate strong evidence, provided we set expectations around the curriculum-mapping work described in Section 7.</w:t>
      </w:r>
    </w:p>
    <w:p>
      <w:pPr>
        <w:pStyle w:val="Heading1"/>
      </w:pPr>
      <w:r>
        <w:t xml:space="preserve">3. Why Lingo Booth fits</w:t>
      </w:r>
    </w:p>
    <w:p>
      <w:pPr>
        <w:pStyle w:val="ListParagraph"/>
        <w:numPr>
          <w:ilvl w:val="0"/>
          <w:numId w:val="2"/>
        </w:numPr>
        <w:spacing w:after="60"/>
      </w:pPr>
      <w:r>
        <w:rPr>
          <w:b/>
          <w:bCs/>
        </w:rPr>
        <w:t xml:space="preserve">Extends limited class time. </w:t>
      </w:r>
      <w:r>
        <w:t xml:space="preserve">Students keep practicing 24/7 on web or phone between sessions. It supports instructors, and does not replace them.</w:t>
      </w:r>
    </w:p>
    <w:p>
      <w:pPr>
        <w:pStyle w:val="ListParagraph"/>
        <w:numPr>
          <w:ilvl w:val="0"/>
          <w:numId w:val="2"/>
        </w:numPr>
        <w:spacing w:after="60"/>
      </w:pPr>
      <w:r>
        <w:rPr>
          <w:b/>
          <w:bCs/>
        </w:rPr>
        <w:t xml:space="preserve">Meets each student in their first language. </w:t>
      </w:r>
      <w:r>
        <w:t xml:space="preserve">Korean is one of 20 supported languages, taught from the learner's own language for a multilingual cohort.</w:t>
      </w:r>
    </w:p>
    <w:p>
      <w:pPr>
        <w:pStyle w:val="ListParagraph"/>
        <w:numPr>
          <w:ilvl w:val="0"/>
          <w:numId w:val="2"/>
        </w:numPr>
        <w:spacing w:after="60"/>
      </w:pPr>
      <w:r>
        <w:rPr>
          <w:b/>
          <w:bCs/>
        </w:rPr>
        <w:t xml:space="preserve">Visibility for coordinators. </w:t>
      </w:r>
      <w:r>
        <w:t xml:space="preserve">Progress reports show who is engaged, who is struggling, and where to step in.</w:t>
      </w:r>
    </w:p>
    <w:p>
      <w:pPr>
        <w:pStyle w:val="ListParagraph"/>
        <w:numPr>
          <w:ilvl w:val="0"/>
          <w:numId w:val="2"/>
        </w:numPr>
        <w:spacing w:after="60"/>
      </w:pPr>
      <w:r>
        <w:rPr>
          <w:b/>
          <w:bCs/>
        </w:rPr>
        <w:t xml:space="preserve">Placement and recognition. </w:t>
      </w:r>
      <w:r>
        <w:t xml:space="preserve">A built-in level test supports placement, and completion certificates recognize achievement.</w:t>
      </w:r>
    </w:p>
    <w:p>
      <w:pPr>
        <w:pStyle w:val="Heading1"/>
      </w:pPr>
      <w:r>
        <w:t xml:space="preserve">4. Pilot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c>
          <w:tcPr>
            <w:tcW w:type="dxa" w:w="1700"/>
            <w:tcBorders>
              <w:top w:val="single" w:color="CCCCCC" w:sz="1"/>
              <w:left w:val="single" w:color="CCCCCC" w:sz="1"/>
              <w:bottom w:val="single" w:color="CCCCCC" w:sz="1"/>
              <w:right w:val="single" w:color="CCCCCC" w:sz="1"/>
            </w:tcBorders>
            <w:shd w:fill="12402A" w:val="clear"/>
            <w:tcMar>
              <w:top w:type="dxa" w:w="80"/>
              <w:left w:type="dxa" w:w="120"/>
              <w:bottom w:type="dxa" w:w="80"/>
              <w:right w:type="dxa" w:w="120"/>
            </w:tcMar>
          </w:tcPr>
          <w:p>
            <w:pPr>
              <w:jc w:val="left"/>
            </w:pPr>
            <w:r>
              <w:rPr>
                <w:b/>
                <w:bCs/>
                <w:color w:val="FFFFFF"/>
                <w:sz w:val="20"/>
                <w:szCs w:val="20"/>
              </w:rPr>
              <w:t xml:space="preserve">Element</w:t>
            </w:r>
          </w:p>
        </w:tc>
        <w:tc>
          <w:tcPr>
            <w:tcW w:type="dxa" w:w="3830"/>
            <w:tcBorders>
              <w:top w:val="single" w:color="CCCCCC" w:sz="1"/>
              <w:left w:val="single" w:color="CCCCCC" w:sz="1"/>
              <w:bottom w:val="single" w:color="CCCCCC" w:sz="1"/>
              <w:right w:val="single" w:color="CCCCCC" w:sz="1"/>
            </w:tcBorders>
            <w:shd w:fill="12402A" w:val="clear"/>
            <w:tcMar>
              <w:top w:type="dxa" w:w="80"/>
              <w:left w:type="dxa" w:w="120"/>
              <w:bottom w:type="dxa" w:w="80"/>
              <w:right w:type="dxa" w:w="120"/>
            </w:tcMar>
          </w:tcPr>
          <w:p>
            <w:pPr>
              <w:jc w:val="left"/>
            </w:pPr>
            <w:r>
              <w:rPr>
                <w:b/>
                <w:bCs/>
                <w:color w:val="FFFFFF"/>
                <w:sz w:val="20"/>
                <w:szCs w:val="20"/>
              </w:rPr>
              <w:t xml:space="preserve">Track A: Evening classes (priority)</w:t>
            </w:r>
          </w:p>
        </w:tc>
        <w:tc>
          <w:tcPr>
            <w:tcW w:type="dxa" w:w="3830"/>
            <w:tcBorders>
              <w:top w:val="single" w:color="CCCCCC" w:sz="1"/>
              <w:left w:val="single" w:color="CCCCCC" w:sz="1"/>
              <w:bottom w:val="single" w:color="CCCCCC" w:sz="1"/>
              <w:right w:val="single" w:color="CCCCCC" w:sz="1"/>
            </w:tcBorders>
            <w:shd w:fill="12402A" w:val="clear"/>
            <w:tcMar>
              <w:top w:type="dxa" w:w="80"/>
              <w:left w:type="dxa" w:w="120"/>
              <w:bottom w:type="dxa" w:w="80"/>
              <w:right w:type="dxa" w:w="120"/>
            </w:tcMar>
          </w:tcPr>
          <w:p>
            <w:pPr>
              <w:jc w:val="left"/>
            </w:pPr>
            <w:r>
              <w:rPr>
                <w:b/>
                <w:bCs/>
                <w:color w:val="FFFFFF"/>
                <w:sz w:val="20"/>
                <w:szCs w:val="20"/>
              </w:rPr>
              <w:t xml:space="preserve">Track B: Korean Language Program</w:t>
            </w:r>
          </w:p>
        </w:tc>
      </w:tr>
      <w:tr>
        <w:tc>
          <w:tcPr>
            <w:tcW w:type="dxa" w:w="1700"/>
            <w:tcBorders>
              <w:top w:val="single" w:color="CCCCCC" w:sz="1"/>
              <w:left w:val="single" w:color="CCCCCC" w:sz="1"/>
              <w:bottom w:val="single" w:color="CCCCCC" w:sz="1"/>
              <w:right w:val="single" w:color="CCCCCC" w:sz="1"/>
            </w:tcBorders>
            <w:shd w:fill="EAF3DC" w:val="clear"/>
            <w:tcMar>
              <w:top w:type="dxa" w:w="80"/>
              <w:left w:type="dxa" w:w="120"/>
              <w:bottom w:type="dxa" w:w="80"/>
              <w:right w:type="dxa" w:w="120"/>
            </w:tcMar>
          </w:tcPr>
          <w:p>
            <w:pPr>
              <w:jc w:val="left"/>
            </w:pPr>
            <w:r>
              <w:rPr>
                <w:b/>
                <w:bCs/>
                <w:color w:val="000000"/>
                <w:sz w:val="20"/>
                <w:szCs w:val="20"/>
              </w:rPr>
              <w:t xml:space="preserve">Audience</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Korean evening classes for international graduate students (free sessions, about twice a week)</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The Korean Language Program, full-time Korean language students</w:t>
            </w:r>
          </w:p>
        </w:tc>
      </w:tr>
      <w:tr>
        <w:tc>
          <w:tcPr>
            <w:tcW w:type="dxa" w:w="1700"/>
            <w:tcBorders>
              <w:top w:val="single" w:color="CCCCCC" w:sz="1"/>
              <w:left w:val="single" w:color="CCCCCC" w:sz="1"/>
              <w:bottom w:val="single" w:color="CCCCCC" w:sz="1"/>
              <w:right w:val="single" w:color="CCCCCC" w:sz="1"/>
            </w:tcBorders>
            <w:shd w:fill="EAF3DC" w:val="clear"/>
            <w:tcMar>
              <w:top w:type="dxa" w:w="80"/>
              <w:left w:type="dxa" w:w="120"/>
              <w:bottom w:type="dxa" w:w="80"/>
              <w:right w:type="dxa" w:w="120"/>
            </w:tcMar>
          </w:tcPr>
          <w:p>
            <w:pPr>
              <w:jc w:val="left"/>
            </w:pPr>
            <w:r>
              <w:rPr>
                <w:b/>
                <w:bCs/>
                <w:color w:val="000000"/>
                <w:sz w:val="20"/>
                <w:szCs w:val="20"/>
              </w:rPr>
              <w:t xml:space="preserve">Students (pilot)</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50</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100</w:t>
            </w:r>
          </w:p>
        </w:tc>
      </w:tr>
      <w:tr>
        <w:tc>
          <w:tcPr>
            <w:tcW w:type="dxa" w:w="1700"/>
            <w:tcBorders>
              <w:top w:val="single" w:color="CCCCCC" w:sz="1"/>
              <w:left w:val="single" w:color="CCCCCC" w:sz="1"/>
              <w:bottom w:val="single" w:color="CCCCCC" w:sz="1"/>
              <w:right w:val="single" w:color="CCCCCC" w:sz="1"/>
            </w:tcBorders>
            <w:shd w:fill="EAF3DC" w:val="clear"/>
            <w:tcMar>
              <w:top w:type="dxa" w:w="80"/>
              <w:left w:type="dxa" w:w="120"/>
              <w:bottom w:type="dxa" w:w="80"/>
              <w:right w:type="dxa" w:w="120"/>
            </w:tcMar>
          </w:tcPr>
          <w:p>
            <w:pPr>
              <w:jc w:val="left"/>
            </w:pPr>
            <w:r>
              <w:rPr>
                <w:b/>
                <w:bCs/>
                <w:color w:val="000000"/>
                <w:sz w:val="20"/>
                <w:szCs w:val="20"/>
              </w:rPr>
              <w:t xml:space="preserve">Duration</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One semester, September-December (about 4 months)</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Fall intake: two semesters, Sep-Nov and Dec-Feb (about 6 months)</w:t>
            </w:r>
          </w:p>
        </w:tc>
      </w:tr>
      <w:tr>
        <w:tc>
          <w:tcPr>
            <w:tcW w:type="dxa" w:w="1700"/>
            <w:tcBorders>
              <w:top w:val="single" w:color="CCCCCC" w:sz="1"/>
              <w:left w:val="single" w:color="CCCCCC" w:sz="1"/>
              <w:bottom w:val="single" w:color="CCCCCC" w:sz="1"/>
              <w:right w:val="single" w:color="CCCCCC" w:sz="1"/>
            </w:tcBorders>
            <w:shd w:fill="EAF3DC" w:val="clear"/>
            <w:tcMar>
              <w:top w:type="dxa" w:w="80"/>
              <w:left w:type="dxa" w:w="120"/>
              <w:bottom w:type="dxa" w:w="80"/>
              <w:right w:type="dxa" w:w="120"/>
            </w:tcMar>
          </w:tcPr>
          <w:p>
            <w:pPr>
              <w:jc w:val="left"/>
            </w:pPr>
            <w:r>
              <w:rPr>
                <w:b/>
                <w:bCs/>
                <w:color w:val="000000"/>
                <w:sz w:val="20"/>
                <w:szCs w:val="20"/>
              </w:rPr>
              <w:t xml:space="preserve">Seats (approx.)</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200  (~4 per student)</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600  (~6 per student; ~3 per ~13-week semester)</w:t>
            </w:r>
          </w:p>
        </w:tc>
      </w:tr>
      <w:tr>
        <w:tc>
          <w:tcPr>
            <w:tcW w:type="dxa" w:w="1700"/>
            <w:tcBorders>
              <w:top w:val="single" w:color="CCCCCC" w:sz="1"/>
              <w:left w:val="single" w:color="CCCCCC" w:sz="1"/>
              <w:bottom w:val="single" w:color="CCCCCC" w:sz="1"/>
              <w:right w:val="single" w:color="CCCCCC" w:sz="1"/>
            </w:tcBorders>
            <w:shd w:fill="EAF3DC" w:val="clear"/>
            <w:tcMar>
              <w:top w:type="dxa" w:w="80"/>
              <w:left w:type="dxa" w:w="120"/>
              <w:bottom w:type="dxa" w:w="80"/>
              <w:right w:type="dxa" w:w="120"/>
            </w:tcMar>
          </w:tcPr>
          <w:p>
            <w:pPr>
              <w:jc w:val="left"/>
            </w:pPr>
            <w:r>
              <w:rPr>
                <w:b/>
                <w:bCs/>
                <w:color w:val="000000"/>
                <w:sz w:val="20"/>
                <w:szCs w:val="20"/>
              </w:rPr>
              <w:t xml:space="preserve">Role in the pilot</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Priority / anchor track</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Parallel track (curriculum mapping in progress)</w:t>
            </w:r>
          </w:p>
        </w:tc>
      </w:tr>
    </w:tbl>
    <w:p>
      <w:pPr>
        <w:spacing w:after="120" w:before="140"/>
      </w:pPr>
      <w:r>
        <w:t xml:space="preserve">Both tracks include the same features: </w:t>
      </w:r>
      <w:r>
        <w:t xml:space="preserve">guided lessons, conversation practice, flashcards, quizzes, writing practice, a placement/level test, completion certificates, and instructor progress reports, with onboarding for coordinators and a named contact for the pilot.</w:t>
      </w:r>
    </w:p>
    <w:p>
      <w:pPr>
        <w:spacing w:after="120"/>
      </w:pPr>
      <w:r>
        <w:rPr>
          <w:b/>
          <w:bCs/>
        </w:rPr>
        <w:t xml:space="preserve">How seats work:  </w:t>
      </w:r>
      <w:r>
        <w:t xml:space="preserve">A seat is 30 days of full access for one learner, bought up front as a shared pool. A learner’s seat activates when they first use Lingo Booth and renews automatically from the pool, one seat at a time, for as long as they keep learning; roughly one seat per active month (about four across the evening semester, or three per ~13-week language-program semester). A learner only ever holds one seat at a time, and unused seats stay valid for a year. We size each track’s pool to cover its learners for the full period and monitor it so no one is interrupted; if a pool runs low, the Center simply tops it up.</w:t>
      </w:r>
    </w:p>
    <w:p>
      <w:pPr>
        <w:spacing w:after="120"/>
      </w:pPr>
      <w:r>
        <w:rPr>
          <w:b/>
          <w:bCs/>
        </w:rPr>
        <w:t xml:space="preserve">A note on certificates:  </w:t>
      </w:r>
      <w:r>
        <w:t xml:space="preserve">The completion certificates recognize that a learner finished a Lingo Booth course or practice track, a record of completion and participation on the platform. They are not accredited qualifications, formal academic credentials, or official language-proficiency certifications such as TOPIK, and any level shown reflects Lingo Booth’s own internal assessment. If certificates are to carry Kumoh’s name or logo, we will agree the wording and branding with the Center in writing.</w:t>
      </w:r>
    </w:p>
    <w:p>
      <w:pPr>
        <w:pStyle w:val="Heading1"/>
      </w:pPr>
      <w:r>
        <w:t xml:space="preserve">5. How we will measure success</w:t>
      </w:r>
    </w:p>
    <w:p>
      <w:pPr>
        <w:spacing w:after="120"/>
      </w:pPr>
      <w:r>
        <w:t xml:space="preserve">We set targets to match each track, and review them at the midpoint and end of each track's semester.</w:t>
      </w:r>
    </w:p>
    <w:p>
      <w:pPr>
        <w:pStyle w:val="ListParagraph"/>
        <w:numPr>
          <w:ilvl w:val="0"/>
          <w:numId w:val="2"/>
        </w:numPr>
        <w:spacing w:after="60"/>
      </w:pPr>
      <w:r>
        <w:rPr>
          <w:b/>
          <w:bCs/>
        </w:rPr>
        <w:t xml:space="preserve">Activation (both tracks): </w:t>
      </w:r>
      <w:r>
        <w:t xml:space="preserve">share of invited learners who start within the first two weeks.</w:t>
      </w:r>
    </w:p>
    <w:p>
      <w:pPr>
        <w:pStyle w:val="ListParagraph"/>
        <w:numPr>
          <w:ilvl w:val="0"/>
          <w:numId w:val="2"/>
        </w:numPr>
        <w:spacing w:after="60"/>
      </w:pPr>
      <w:r>
        <w:rPr>
          <w:b/>
          <w:bCs/>
        </w:rPr>
        <w:t xml:space="preserve">Engagement (both tracks): </w:t>
      </w:r>
      <w:r>
        <w:t xml:space="preserve">weekly active learners and practice sessions completed per learner.</w:t>
      </w:r>
    </w:p>
    <w:p>
      <w:pPr>
        <w:pStyle w:val="ListParagraph"/>
        <w:numPr>
          <w:ilvl w:val="0"/>
          <w:numId w:val="2"/>
        </w:numPr>
        <w:spacing w:after="60"/>
      </w:pPr>
      <w:r>
        <w:rPr>
          <w:b/>
          <w:bCs/>
        </w:rPr>
        <w:t xml:space="preserve">Satisfaction (both tracks): </w:t>
      </w:r>
      <w:r>
        <w:t xml:space="preserve">short learner and instructor surveys at the midpoint and end.</w:t>
      </w:r>
    </w:p>
    <w:p>
      <w:pPr>
        <w:pStyle w:val="ListParagraph"/>
        <w:numPr>
          <w:ilvl w:val="0"/>
          <w:numId w:val="2"/>
        </w:numPr>
        <w:spacing w:after="60"/>
      </w:pPr>
      <w:r>
        <w:rPr>
          <w:b/>
          <w:bCs/>
        </w:rPr>
        <w:t xml:space="preserve">Progress (evening track): </w:t>
      </w:r>
      <w:r>
        <w:t xml:space="preserve">modest, measurable placement-test movement, calibrated for a supplementary support program.</w:t>
      </w:r>
    </w:p>
    <w:p>
      <w:pPr>
        <w:pStyle w:val="ListParagraph"/>
        <w:numPr>
          <w:ilvl w:val="0"/>
          <w:numId w:val="2"/>
        </w:numPr>
        <w:spacing w:after="60"/>
      </w:pPr>
      <w:r>
        <w:rPr>
          <w:b/>
          <w:bCs/>
        </w:rPr>
        <w:t xml:space="preserve">Progress (language track): </w:t>
      </w:r>
      <w:r>
        <w:t xml:space="preserve">stronger proficiency gains over the two semesters, plus agreed curriculum-mapping milestones.</w:t>
      </w:r>
    </w:p>
    <w:p>
      <w:pPr>
        <w:pStyle w:val="Heading1"/>
      </w:pPr>
      <w:r>
        <w:t xml:space="preserve">6. Investment</w:t>
      </w:r>
    </w:p>
    <w:p>
      <w:pPr>
        <w:spacing w:after="120"/>
      </w:pPr>
      <w:r>
        <w:t xml:space="preserve">Pricing is per seat, billed once by invoice, on the Institution Pro tier (which includes the progress reports and classroom tools coordinators need). The accompanying quote sheet lets you adjust the student counts and seats-per-student for each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300"/>
        <w:gridCol w:w="1100"/>
        <w:gridCol w:w="1300"/>
        <w:gridCol w:w="1300"/>
      </w:tblGrid>
      <w:tr>
        <w:tc>
          <w:tcPr>
            <w:tcW w:type="dxa" w:w="4360"/>
            <w:tcBorders>
              <w:top w:val="single" w:color="CCCCCC" w:sz="1"/>
              <w:left w:val="single" w:color="CCCCCC" w:sz="1"/>
              <w:bottom w:val="single" w:color="CCCCCC" w:sz="1"/>
              <w:right w:val="single" w:color="CCCCCC" w:sz="1"/>
            </w:tcBorders>
            <w:shd w:fill="12402A" w:val="clear"/>
            <w:tcMar>
              <w:top w:type="dxa" w:w="80"/>
              <w:left w:type="dxa" w:w="120"/>
              <w:bottom w:type="dxa" w:w="80"/>
              <w:right w:type="dxa" w:w="120"/>
            </w:tcMar>
          </w:tcPr>
          <w:p>
            <w:pPr>
              <w:jc w:val="left"/>
            </w:pPr>
            <w:r>
              <w:rPr>
                <w:b/>
                <w:bCs/>
                <w:color w:val="FFFFFF"/>
                <w:sz w:val="20"/>
                <w:szCs w:val="20"/>
              </w:rPr>
              <w:t xml:space="preserve">Track (Institution Pro)</w:t>
            </w:r>
          </w:p>
        </w:tc>
        <w:tc>
          <w:tcPr>
            <w:tcW w:type="dxa" w:w="1300"/>
            <w:tcBorders>
              <w:top w:val="single" w:color="CCCCCC" w:sz="1"/>
              <w:left w:val="single" w:color="CCCCCC" w:sz="1"/>
              <w:bottom w:val="single" w:color="CCCCCC" w:sz="1"/>
              <w:right w:val="single" w:color="CCCCCC" w:sz="1"/>
            </w:tcBorders>
            <w:shd w:fill="12402A" w:val="clear"/>
            <w:tcMar>
              <w:top w:type="dxa" w:w="80"/>
              <w:left w:type="dxa" w:w="120"/>
              <w:bottom w:type="dxa" w:w="80"/>
              <w:right w:type="dxa" w:w="120"/>
            </w:tcMar>
          </w:tcPr>
          <w:p>
            <w:pPr>
              <w:jc w:val="center"/>
            </w:pPr>
            <w:r>
              <w:rPr>
                <w:b/>
                <w:bCs/>
                <w:color w:val="FFFFFF"/>
                <w:sz w:val="20"/>
                <w:szCs w:val="20"/>
              </w:rPr>
              <w:t xml:space="preserve">Students</w:t>
            </w:r>
          </w:p>
        </w:tc>
        <w:tc>
          <w:tcPr>
            <w:tcW w:type="dxa" w:w="1100"/>
            <w:tcBorders>
              <w:top w:val="single" w:color="CCCCCC" w:sz="1"/>
              <w:left w:val="single" w:color="CCCCCC" w:sz="1"/>
              <w:bottom w:val="single" w:color="CCCCCC" w:sz="1"/>
              <w:right w:val="single" w:color="CCCCCC" w:sz="1"/>
            </w:tcBorders>
            <w:shd w:fill="12402A" w:val="clear"/>
            <w:tcMar>
              <w:top w:type="dxa" w:w="80"/>
              <w:left w:type="dxa" w:w="120"/>
              <w:bottom w:type="dxa" w:w="80"/>
              <w:right w:type="dxa" w:w="120"/>
            </w:tcMar>
          </w:tcPr>
          <w:p>
            <w:pPr>
              <w:jc w:val="center"/>
            </w:pPr>
            <w:r>
              <w:rPr>
                <w:b/>
                <w:bCs/>
                <w:color w:val="FFFFFF"/>
                <w:sz w:val="20"/>
                <w:szCs w:val="20"/>
              </w:rPr>
              <w:t xml:space="preserve">Seats*</w:t>
            </w:r>
          </w:p>
        </w:tc>
        <w:tc>
          <w:tcPr>
            <w:tcW w:type="dxa" w:w="1300"/>
            <w:tcBorders>
              <w:top w:val="single" w:color="CCCCCC" w:sz="1"/>
              <w:left w:val="single" w:color="CCCCCC" w:sz="1"/>
              <w:bottom w:val="single" w:color="CCCCCC" w:sz="1"/>
              <w:right w:val="single" w:color="CCCCCC" w:sz="1"/>
            </w:tcBorders>
            <w:shd w:fill="12402A" w:val="clear"/>
            <w:tcMar>
              <w:top w:type="dxa" w:w="80"/>
              <w:left w:type="dxa" w:w="120"/>
              <w:bottom w:type="dxa" w:w="80"/>
              <w:right w:type="dxa" w:w="120"/>
            </w:tcMar>
          </w:tcPr>
          <w:p>
            <w:pPr>
              <w:jc w:val="center"/>
            </w:pPr>
            <w:r>
              <w:rPr>
                <w:b/>
                <w:bCs/>
                <w:color w:val="FFFFFF"/>
                <w:sz w:val="20"/>
                <w:szCs w:val="20"/>
              </w:rPr>
              <w:t xml:space="preserve">List</w:t>
            </w:r>
          </w:p>
        </w:tc>
        <w:tc>
          <w:tcPr>
            <w:tcW w:type="dxa" w:w="1300"/>
            <w:tcBorders>
              <w:top w:val="single" w:color="CCCCCC" w:sz="1"/>
              <w:left w:val="single" w:color="CCCCCC" w:sz="1"/>
              <w:bottom w:val="single" w:color="CCCCCC" w:sz="1"/>
              <w:right w:val="single" w:color="CCCCCC" w:sz="1"/>
            </w:tcBorders>
            <w:shd w:fill="12402A" w:val="clear"/>
            <w:tcMar>
              <w:top w:type="dxa" w:w="80"/>
              <w:left w:type="dxa" w:w="120"/>
              <w:bottom w:type="dxa" w:w="80"/>
              <w:right w:type="dxa" w:w="120"/>
            </w:tcMar>
          </w:tcPr>
          <w:p>
            <w:pPr>
              <w:jc w:val="center"/>
            </w:pPr>
            <w:r>
              <w:rPr>
                <w:b/>
                <w:bCs/>
                <w:color w:val="FFFFFF"/>
                <w:sz w:val="20"/>
                <w:szCs w:val="20"/>
              </w:rPr>
              <w:t xml:space="preserve">After 50%</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Track A: Evening classes (4 months)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200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$3,418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$1,709</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Track B: Language Program (6 months)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600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$10,254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$5,127</w:t>
            </w:r>
          </w:p>
        </w:tc>
      </w:tr>
      <w:tr>
        <w:tc>
          <w:tcPr>
            <w:tcW w:type="dxa" w:w="4360"/>
            <w:tcBorders>
              <w:top w:val="single" w:color="CCCCCC" w:sz="1"/>
              <w:left w:val="single" w:color="CCCCCC" w:sz="1"/>
              <w:bottom w:val="single" w:color="CCCCCC" w:sz="1"/>
              <w:right w:val="single" w:color="CCCCCC" w:sz="1"/>
            </w:tcBorders>
            <w:shd w:fill="EAF3DC" w:val="clear"/>
            <w:tcMar>
              <w:top w:type="dxa" w:w="80"/>
              <w:left w:type="dxa" w:w="120"/>
              <w:bottom w:type="dxa" w:w="80"/>
              <w:right w:type="dxa" w:w="120"/>
            </w:tcMar>
          </w:tcPr>
          <w:p>
            <w:pPr>
              <w:jc w:val="left"/>
            </w:pPr>
            <w:r>
              <w:rPr>
                <w:b/>
                <w:bCs/>
                <w:color w:val="000000"/>
                <w:sz w:val="20"/>
                <w:szCs w:val="20"/>
              </w:rPr>
              <w:t xml:space="preserve">Total</w:t>
            </w:r>
          </w:p>
        </w:tc>
        <w:tc>
          <w:tcPr>
            <w:tcW w:type="dxa" w:w="1300"/>
            <w:tcBorders>
              <w:top w:val="single" w:color="CCCCCC" w:sz="1"/>
              <w:left w:val="single" w:color="CCCCCC" w:sz="1"/>
              <w:bottom w:val="single" w:color="CCCCCC" w:sz="1"/>
              <w:right w:val="single" w:color="CCCCCC" w:sz="1"/>
            </w:tcBorders>
            <w:shd w:fill="EAF3DC" w:val="clear"/>
            <w:tcMar>
              <w:top w:type="dxa" w:w="80"/>
              <w:left w:type="dxa" w:w="120"/>
              <w:bottom w:type="dxa" w:w="80"/>
              <w:right w:type="dxa" w:w="120"/>
            </w:tcMar>
          </w:tcPr>
          <w:p>
            <w:pPr>
              <w:jc w:val="center"/>
            </w:pPr>
            <w:r>
              <w:rPr>
                <w:b/>
                <w:bCs/>
                <w:color w:val="000000"/>
                <w:sz w:val="20"/>
                <w:szCs w:val="20"/>
              </w:rPr>
              <w:t xml:space="preserve">150</w:t>
            </w:r>
          </w:p>
        </w:tc>
        <w:tc>
          <w:tcPr>
            <w:tcW w:type="dxa" w:w="1100"/>
            <w:tcBorders>
              <w:top w:val="single" w:color="CCCCCC" w:sz="1"/>
              <w:left w:val="single" w:color="CCCCCC" w:sz="1"/>
              <w:bottom w:val="single" w:color="CCCCCC" w:sz="1"/>
              <w:right w:val="single" w:color="CCCCCC" w:sz="1"/>
            </w:tcBorders>
            <w:shd w:fill="EAF3DC" w:val="clear"/>
            <w:tcMar>
              <w:top w:type="dxa" w:w="80"/>
              <w:left w:type="dxa" w:w="120"/>
              <w:bottom w:type="dxa" w:w="80"/>
              <w:right w:type="dxa" w:w="120"/>
            </w:tcMar>
          </w:tcPr>
          <w:p>
            <w:pPr>
              <w:jc w:val="center"/>
            </w:pPr>
            <w:r>
              <w:rPr>
                <w:b/>
                <w:bCs/>
                <w:color w:val="000000"/>
                <w:sz w:val="20"/>
                <w:szCs w:val="20"/>
              </w:rPr>
              <w:t xml:space="preserve">800</w:t>
            </w:r>
          </w:p>
        </w:tc>
        <w:tc>
          <w:tcPr>
            <w:tcW w:type="dxa" w:w="1300"/>
            <w:tcBorders>
              <w:top w:val="single" w:color="CCCCCC" w:sz="1"/>
              <w:left w:val="single" w:color="CCCCCC" w:sz="1"/>
              <w:bottom w:val="single" w:color="CCCCCC" w:sz="1"/>
              <w:right w:val="single" w:color="CCCCCC" w:sz="1"/>
            </w:tcBorders>
            <w:shd w:fill="EAF3DC" w:val="clear"/>
            <w:tcMar>
              <w:top w:type="dxa" w:w="80"/>
              <w:left w:type="dxa" w:w="120"/>
              <w:bottom w:type="dxa" w:w="80"/>
              <w:right w:type="dxa" w:w="120"/>
            </w:tcMar>
          </w:tcPr>
          <w:p>
            <w:pPr>
              <w:jc w:val="center"/>
            </w:pPr>
            <w:r>
              <w:rPr>
                <w:b/>
                <w:bCs/>
                <w:color w:val="000000"/>
                <w:sz w:val="20"/>
                <w:szCs w:val="20"/>
              </w:rPr>
              <w:t xml:space="preserve">$13,672</w:t>
            </w:r>
          </w:p>
        </w:tc>
        <w:tc>
          <w:tcPr>
            <w:tcW w:type="dxa" w:w="1300"/>
            <w:tcBorders>
              <w:top w:val="single" w:color="CCCCCC" w:sz="1"/>
              <w:left w:val="single" w:color="CCCCCC" w:sz="1"/>
              <w:bottom w:val="single" w:color="CCCCCC" w:sz="1"/>
              <w:right w:val="single" w:color="CCCCCC" w:sz="1"/>
            </w:tcBorders>
            <w:shd w:fill="EAF3DC" w:val="clear"/>
            <w:tcMar>
              <w:top w:type="dxa" w:w="80"/>
              <w:left w:type="dxa" w:w="120"/>
              <w:bottom w:type="dxa" w:w="80"/>
              <w:right w:type="dxa" w:w="120"/>
            </w:tcMar>
          </w:tcPr>
          <w:p>
            <w:pPr>
              <w:jc w:val="center"/>
            </w:pPr>
            <w:r>
              <w:rPr>
                <w:b/>
                <w:bCs/>
                <w:color w:val="000000"/>
                <w:sz w:val="20"/>
                <w:szCs w:val="20"/>
              </w:rPr>
              <w:t xml:space="preserve">$6,836</w:t>
            </w:r>
          </w:p>
        </w:tc>
      </w:tr>
    </w:tbl>
    <w:p>
      <w:pPr>
        <w:spacing w:before="80"/>
      </w:pPr>
      <w:r>
        <w:rPr>
          <w:color w:val="555555"/>
          <w:sz w:val="18"/>
          <w:szCs w:val="18"/>
        </w:rPr>
        <w:t xml:space="preserve">*Seats = learners × months of access (evening ≈ 4 months / 4 seats; language fall intake ≈ 6 months / 6 seats across two semesters). </w:t>
      </w:r>
      <w:r>
        <w:rPr>
          <w:color w:val="555555"/>
          <w:sz w:val="18"/>
          <w:szCs w:val="18"/>
        </w:rPr>
        <w:t xml:space="preserve">Figures shown after the recommended 50% founding-partner discount, about $34 per evening student and $51 per language student for the whole pilot. Institution Plus is a lower-cost option (roughly half) but does not include progress reports.</w:t>
      </w:r>
    </w:p>
    <w:p>
      <w:pPr>
        <w:pStyle w:val="Heading1"/>
      </w:pPr>
      <w:r>
        <w:t xml:space="preserve">7. The language track: curriculum mapping</w:t>
      </w:r>
    </w:p>
    <w:p>
      <w:pPr>
        <w:spacing w:after="120"/>
      </w:pPr>
      <w:r>
        <w:t xml:space="preserve">The Korean Language Program follows an established, four-term curriculum (about ten weeks of class, an exam week, and a holiday break in each ~13-week semester), with the fall intake spanning two semesters (Sep-Nov and Dec-Feb). Because of that structure, we treat the language track as one we co-develop with the Center: we map Lingo Booth's lessons and sequencing onto the program so the tool reinforces, rather than competes with, what teachers already deliver. The evening track remains the priority and anchor, and the language track's targets are set with this mapping work in mind. English for Korean students is a further track the Center may wish to add later.</w:t>
      </w:r>
    </w:p>
    <w:p>
      <w:pPr>
        <w:pStyle w:val="Heading1"/>
      </w:pPr>
      <w:r>
        <w:t xml:space="preserve">8. Commercial terms</w:t>
      </w:r>
    </w:p>
    <w:p>
      <w:pPr>
        <w:pStyle w:val="ListParagraph"/>
        <w:numPr>
          <w:ilvl w:val="0"/>
          <w:numId w:val="2"/>
        </w:numPr>
        <w:spacing w:after="60"/>
      </w:pPr>
      <w:r>
        <w:rPr>
          <w:b/>
          <w:bCs/>
        </w:rPr>
        <w:t xml:space="preserve">Billing: </w:t>
      </w:r>
      <w:r>
        <w:t xml:space="preserve">by invoice (purchase order accepted), no credit card or recurring charge required.</w:t>
      </w:r>
    </w:p>
    <w:p>
      <w:pPr>
        <w:pStyle w:val="ListParagraph"/>
        <w:numPr>
          <w:ilvl w:val="0"/>
          <w:numId w:val="2"/>
        </w:numPr>
        <w:spacing w:after="60"/>
      </w:pPr>
      <w:r>
        <w:rPr>
          <w:b/>
          <w:bCs/>
        </w:rPr>
        <w:t xml:space="preserve">Founding-partner discount: </w:t>
      </w:r>
      <w:r>
        <w:t xml:space="preserve">50% off the first semester for both tracks (adjustable by agreement).</w:t>
      </w:r>
    </w:p>
    <w:p>
      <w:pPr>
        <w:pStyle w:val="ListParagraph"/>
        <w:numPr>
          <w:ilvl w:val="0"/>
          <w:numId w:val="2"/>
        </w:numPr>
        <w:spacing w:after="60"/>
      </w:pPr>
      <w:r>
        <w:rPr>
          <w:b/>
          <w:bCs/>
        </w:rPr>
        <w:t xml:space="preserve">Term: </w:t>
      </w:r>
      <w:r>
        <w:t xml:space="preserve">the fall pilot; renewable by mutual agreement, with pricing fixed for any renewal during the pilot year.</w:t>
      </w:r>
    </w:p>
    <w:p>
      <w:pPr>
        <w:pStyle w:val="ListParagraph"/>
        <w:numPr>
          <w:ilvl w:val="0"/>
          <w:numId w:val="2"/>
        </w:numPr>
        <w:spacing w:after="60"/>
      </w:pPr>
      <w:r>
        <w:rPr>
          <w:b/>
          <w:bCs/>
        </w:rPr>
        <w:t xml:space="preserve">Data &amp; privacy: </w:t>
      </w:r>
      <w:r>
        <w:t xml:space="preserve">we will provide a data-processing summary and handle personal data in line with Korea's Personal Information Protection Act (PIPA). Student data is used only to operate the service.</w:t>
      </w:r>
    </w:p>
    <w:p>
      <w:pPr>
        <w:pStyle w:val="ListParagraph"/>
        <w:numPr>
          <w:ilvl w:val="0"/>
          <w:numId w:val="2"/>
        </w:numPr>
        <w:spacing w:after="60"/>
      </w:pPr>
      <w:r>
        <w:rPr>
          <w:b/>
          <w:bCs/>
        </w:rPr>
        <w:t xml:space="preserve">Exit: </w:t>
      </w:r>
      <w:r>
        <w:t xml:space="preserve">if a track does not meet its agreed targets, there is no obligation to continue it.</w:t>
      </w:r>
    </w:p>
    <w:p>
      <w:pPr>
        <w:pStyle w:val="Heading1"/>
      </w:pPr>
      <w:r>
        <w:t xml:space="preserve">9. Next steps</w:t>
      </w:r>
    </w:p>
    <w:p>
      <w:pPr>
        <w:pStyle w:val="ListParagraph"/>
        <w:numPr>
          <w:ilvl w:val="0"/>
          <w:numId w:val="2"/>
        </w:numPr>
        <w:spacing w:after="60"/>
      </w:pPr>
      <w:r>
        <w:t xml:space="preserve">Confirm both pilot cohorts (about 50 evening students and 100 language-program students) and target start dates.</w:t>
      </w:r>
    </w:p>
    <w:p>
      <w:pPr>
        <w:pStyle w:val="ListParagraph"/>
        <w:numPr>
          <w:ilvl w:val="0"/>
          <w:numId w:val="2"/>
        </w:numPr>
        <w:spacing w:after="60"/>
      </w:pPr>
      <w:r>
        <w:t xml:space="preserve">Agree the success metrics, the language-track curriculum-mapping plan, and the founding-partner price.</w:t>
      </w:r>
    </w:p>
    <w:p>
      <w:pPr>
        <w:pStyle w:val="ListParagraph"/>
        <w:numPr>
          <w:ilvl w:val="0"/>
          <w:numId w:val="2"/>
        </w:numPr>
        <w:spacing w:after="60"/>
      </w:pPr>
      <w:r>
        <w:t xml:space="preserve">Issue a purchase order / accept the invoice; we provision seats and onboard coordinators.</w:t>
      </w:r>
    </w:p>
    <w:p>
      <w:pPr>
        <w:spacing w:before="120"/>
      </w:pPr>
      <w:r>
        <w:rPr>
          <w:b/>
          <w:bCs/>
        </w:rPr>
        <w:t xml:space="preserve">Contact:  </w:t>
      </w:r>
      <w:r>
        <w:t xml:space="preserve">Dr Ikechi Saviour Igboanusi (PhD)  ·  ikechisaviour@kumoh.ac.kr</w:t>
      </w:r>
    </w:p>
    <w:sectPr>
      <w:footerReference w:type="default" r:id="rId7"/>
      <w:pgSz w:w="12240" w:h="15840"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Lingo Booth  -  Partnership Pilot Proposal  -  Confidential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2402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f4865dc299e9358170cd8cc07ab6e779960af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2026-06-07T17:24:12.622Z</dcterms:created>
  <dcterms:modified xsi:type="dcterms:W3CDTF">2026-06-07T17:24:12.622Z</dcterms:modified>
</cp:coreProperties>
</file>

<file path=docProps/custom.xml><?xml version="1.0" encoding="utf-8"?>
<Properties xmlns="http://schemas.openxmlformats.org/officeDocument/2006/custom-properties" xmlns:vt="http://schemas.openxmlformats.org/officeDocument/2006/docPropsVTypes"/>
</file>