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ATHENAEUM LIBRARY MANAGEMENT SYSTEM</w:t>
      </w:r>
    </w:p>
    <w:p>
      <w:pPr>
        <w:spacing w:before="0" w:after="360"/>
      </w:pPr>
      <w:r>
        <w:rPr>
          <w:rFonts w:ascii="Calibri" w:hAnsi="Calibri"/>
          <w:i/>
          <w:color w:val="2563EB"/>
          <w:sz w:val="24"/>
        </w:rPr>
        <w:t>Comprehensive Technical &amp; Architectural Documentation | Problem Statement &amp; Solution Report</w:t>
      </w:r>
    </w:p>
    <w:tbl>
      <w:tblPr>
        <w:tblW w:type="auto" w:w="0"/>
        <w:jc w:val="center"/>
        <w:tblLayout w:type="fixed"/>
        <w:tblLook w:firstColumn="1" w:firstRow="1" w:lastColumn="0" w:lastRow="0" w:noHBand="0" w:noVBand="1" w:val="04A0"/>
      </w:tblPr>
      <w:tblGrid>
        <w:gridCol w:w="4680"/>
        <w:gridCol w:w="4680"/>
      </w:tblGrid>
      <w:tr>
        <w:tc>
          <w:tcPr>
            <w:tcW w:type="dxa" w:w="4608"/>
            <w:shd w:fill="F1F5F9"/>
            <w:tcMar>
              <w:top w:w="120" w:type="dxa"/>
              <w:bottom w:w="120" w:type="dxa"/>
              <w:left w:w="150" w:type="dxa"/>
              <w:right w:w="150" w:type="dxa"/>
            </w:tcMar>
          </w:tcPr>
          <w:p>
            <w:r>
              <w:rPr>
                <w:b/>
              </w:rPr>
              <w:t xml:space="preserve">Project Name: </w:t>
            </w:r>
            <w:r>
              <w:t>Athenaeum-Ikedi</w:t>
            </w:r>
          </w:p>
        </w:tc>
        <w:tc>
          <w:tcPr>
            <w:tcW w:type="dxa" w:w="4752"/>
            <w:shd w:fill="F1F5F9"/>
            <w:tcMar>
              <w:top w:w="120" w:type="dxa"/>
              <w:bottom w:w="120" w:type="dxa"/>
              <w:left w:w="150" w:type="dxa"/>
              <w:right w:w="150" w:type="dxa"/>
            </w:tcMar>
          </w:tcPr>
          <w:p>
            <w:r>
              <w:rPr>
                <w:b/>
              </w:rPr>
              <w:t xml:space="preserve">Framework: </w:t>
            </w:r>
            <w:r>
              <w:t>Django 6.1.1 / Python 3.12+</w:t>
            </w:r>
          </w:p>
        </w:tc>
      </w:tr>
      <w:tr>
        <w:tc>
          <w:tcPr>
            <w:tcW w:type="dxa" w:w="4608"/>
            <w:shd w:fill="F8FAFC"/>
            <w:tcMar>
              <w:top w:w="120" w:type="dxa"/>
              <w:bottom w:w="120" w:type="dxa"/>
              <w:left w:w="150" w:type="dxa"/>
              <w:right w:w="150" w:type="dxa"/>
            </w:tcMar>
          </w:tcPr>
          <w:p>
            <w:r>
              <w:rPr>
                <w:b/>
              </w:rPr>
              <w:t xml:space="preserve">Architecture: </w:t>
            </w:r>
            <w:r>
              <w:t>Modular Monolith (MVT)</w:t>
            </w:r>
          </w:p>
        </w:tc>
        <w:tc>
          <w:tcPr>
            <w:tcW w:type="dxa" w:w="4752"/>
            <w:shd w:fill="F8FAFC"/>
            <w:tcMar>
              <w:top w:w="120" w:type="dxa"/>
              <w:bottom w:w="120" w:type="dxa"/>
              <w:left w:w="150" w:type="dxa"/>
              <w:right w:w="150" w:type="dxa"/>
            </w:tcMar>
          </w:tcPr>
          <w:p>
            <w:r>
              <w:rPr>
                <w:b/>
              </w:rPr>
              <w:t xml:space="preserve">Date: </w:t>
            </w:r>
            <w:r>
              <w:t>September 2026</w:t>
            </w:r>
          </w:p>
        </w:tc>
      </w:tr>
    </w:tbl>
    <w:p>
      <w:pPr>
        <w:spacing w:after="240"/>
      </w:pPr>
    </w:p>
    <w:p>
      <w:pPr>
        <w:keepNext/>
        <w:spacing w:before="360" w:after="120"/>
      </w:pPr>
      <w:r>
        <w:rPr>
          <w:rFonts w:ascii="Calibri" w:hAnsi="Calibri"/>
          <w:b/>
          <w:color w:val="1E3A8A"/>
          <w:sz w:val="32"/>
        </w:rPr>
        <w:t>1. Executive Summary &amp; Problem Statement</w:t>
      </w:r>
    </w:p>
    <w:p>
      <w:pPr>
        <w:spacing w:before="0" w:after="120" w:line="276" w:lineRule="auto"/>
      </w:pPr>
      <w:r>
        <w:rPr>
          <w:rFonts w:ascii="Calibri" w:hAnsi="Calibri"/>
          <w:color w:val="1E293B"/>
          <w:sz w:val="21"/>
        </w:rPr>
        <w:t>Libraries across educational institutions, municipalities, and private organizations have long struggled with outdated, manual, or fragmented management systems. These legacy workflows create critical operational bottlenecks, financial leakage, and degraded user satisfaction across both library staff and patrons.</w:t>
      </w:r>
    </w:p>
    <w:p>
      <w:pPr>
        <w:keepNext/>
        <w:spacing w:before="240" w:after="80"/>
      </w:pPr>
      <w:r>
        <w:rPr>
          <w:rFonts w:ascii="Calibri" w:hAnsi="Calibri"/>
          <w:b/>
          <w:color w:val="2563EB"/>
          <w:sz w:val="26"/>
        </w:rPr>
        <w:t>Core Challenges &amp; Pain Points Identified:</w:t>
      </w:r>
    </w:p>
    <w:p>
      <w:pPr>
        <w:pStyle w:val="ListBullet"/>
        <w:spacing w:before="0" w:after="60" w:line="276" w:lineRule="auto"/>
      </w:pPr>
      <w:r>
        <w:rPr>
          <w:rFonts w:ascii="Calibri" w:hAnsi="Calibri"/>
          <w:b/>
          <w:color w:val="1E293B"/>
          <w:sz w:val="21"/>
        </w:rPr>
        <w:t xml:space="preserve">1. Catalog Inaccuracies &amp; ISBN Integrity Failures: </w:t>
      </w:r>
      <w:r>
        <w:rPr>
          <w:rFonts w:ascii="Calibri" w:hAnsi="Calibri"/>
          <w:color w:val="1E293B"/>
          <w:sz w:val="21"/>
        </w:rPr>
        <w:t>Traditional systems fail to validate International Standard Book Numbers (ISBNs) upon entry. Human typographical errors, varying formatting (hyphenated vs. unhyphenated), and invalid check digits lead to duplicate records, lost inventory, and mismatched catalog searches.</w:t>
      </w:r>
    </w:p>
    <w:p>
      <w:pPr>
        <w:pStyle w:val="ListBullet"/>
        <w:spacing w:before="0" w:after="60" w:line="276" w:lineRule="auto"/>
      </w:pPr>
      <w:r>
        <w:rPr>
          <w:rFonts w:ascii="Calibri" w:hAnsi="Calibri"/>
          <w:b/>
          <w:color w:val="1E293B"/>
          <w:sz w:val="21"/>
        </w:rPr>
        <w:t xml:space="preserve">2. Friction-Heavy Circulation &amp; Circulation Tracking: </w:t>
      </w:r>
      <w:r>
        <w:rPr>
          <w:rFonts w:ascii="Calibri" w:hAnsi="Calibri"/>
          <w:color w:val="1E293B"/>
          <w:sz w:val="21"/>
        </w:rPr>
        <w:t>Manual paper ledgers or legacy desktop applications lack real-time synchronization. Checkout limits, renewal counters, and due date enforcement are frequently miscalculated, resulting in lost books, overlooked overdues, and inaccurate book availability status.</w:t>
      </w:r>
    </w:p>
    <w:p>
      <w:pPr>
        <w:pStyle w:val="ListBullet"/>
        <w:spacing w:before="0" w:after="60" w:line="276" w:lineRule="auto"/>
      </w:pPr>
      <w:r>
        <w:rPr>
          <w:rFonts w:ascii="Calibri" w:hAnsi="Calibri"/>
          <w:b/>
          <w:color w:val="1E293B"/>
          <w:sz w:val="21"/>
        </w:rPr>
        <w:t xml:space="preserve">3. Opaque Fines &amp; Revenue Leakage: </w:t>
      </w:r>
      <w:r>
        <w:rPr>
          <w:rFonts w:ascii="Calibri" w:hAnsi="Calibri"/>
          <w:color w:val="1E293B"/>
          <w:sz w:val="21"/>
        </w:rPr>
        <w:t>Calculating overdue fines manually is prone to human error, disputes between patrons and librarians, and uncollected penalties. Without an automated ledger that ties daily rates to item categories and tracks payments directly against borrow records, revenue is lost.</w:t>
      </w:r>
    </w:p>
    <w:p>
      <w:pPr>
        <w:pStyle w:val="ListBullet"/>
        <w:spacing w:before="0" w:after="60" w:line="276" w:lineRule="auto"/>
      </w:pPr>
      <w:r>
        <w:rPr>
          <w:rFonts w:ascii="Calibri" w:hAnsi="Calibri"/>
          <w:b/>
          <w:color w:val="1E293B"/>
          <w:sz w:val="21"/>
        </w:rPr>
        <w:t xml:space="preserve">4. Poor Patron Experience &amp; Lack of Self-Service: </w:t>
      </w:r>
      <w:r>
        <w:rPr>
          <w:rFonts w:ascii="Calibri" w:hAnsi="Calibri"/>
          <w:color w:val="1E293B"/>
          <w:sz w:val="21"/>
        </w:rPr>
        <w:t>Patrons frequently lack visibility into their current loans, upcoming due dates, reservation queues, and fine liabilities. This lack of self-service places an unnecessary administrative burden on library staff for routine status inquiries.</w:t>
      </w:r>
    </w:p>
    <w:p>
      <w:pPr>
        <w:pStyle w:val="ListBullet"/>
        <w:spacing w:before="0" w:after="60" w:line="276" w:lineRule="auto"/>
      </w:pPr>
      <w:r>
        <w:rPr>
          <w:rFonts w:ascii="Calibri" w:hAnsi="Calibri"/>
          <w:b/>
          <w:color w:val="1E293B"/>
          <w:sz w:val="21"/>
        </w:rPr>
        <w:t xml:space="preserve">5. Security, Access Control &amp; Audit Vulnerabilities: </w:t>
      </w:r>
      <w:r>
        <w:rPr>
          <w:rFonts w:ascii="Calibri" w:hAnsi="Calibri"/>
          <w:color w:val="1E293B"/>
          <w:sz w:val="21"/>
        </w:rPr>
        <w:t>Basic library tools commonly store plaintext or weakly hashed passwords (MD5/SHA1), lack role-based access control (RBAC), and do not guard against brute-force attacks or cross-site request forgery, exposing member personally identifiable information (PII).</w:t>
      </w:r>
    </w:p>
    <w:p>
      <w:pPr>
        <w:pStyle w:val="ListBullet"/>
        <w:spacing w:before="0" w:after="60" w:line="276" w:lineRule="auto"/>
      </w:pPr>
      <w:r>
        <w:rPr>
          <w:rFonts w:ascii="Calibri" w:hAnsi="Calibri"/>
          <w:b/>
          <w:color w:val="1E293B"/>
          <w:sz w:val="21"/>
        </w:rPr>
        <w:t xml:space="preserve">6. Absence of Actionable Analytics: </w:t>
      </w:r>
      <w:r>
        <w:rPr>
          <w:rFonts w:ascii="Calibri" w:hAnsi="Calibri"/>
          <w:color w:val="1E293B"/>
          <w:sz w:val="21"/>
        </w:rPr>
        <w:t>Library directors and administrators lack real-time visibility into high-demand genres, circulation turnover, active member retention, and collection utilization, preventing data-driven acquisitions and inventory budgeting.</w:t>
      </w:r>
    </w:p>
    <w:p>
      <w:pPr>
        <w:keepNext/>
        <w:spacing w:before="360" w:after="120"/>
      </w:pPr>
      <w:r>
        <w:rPr>
          <w:rFonts w:ascii="Calibri" w:hAnsi="Calibri"/>
          <w:b/>
          <w:color w:val="1E3A8A"/>
          <w:sz w:val="32"/>
        </w:rPr>
        <w:t>2. The Athenaeum Solution &amp; Product Impact</w:t>
      </w:r>
    </w:p>
    <w:p>
      <w:pPr>
        <w:spacing w:before="0" w:after="120" w:line="276" w:lineRule="auto"/>
      </w:pPr>
      <w:r>
        <w:rPr>
          <w:rFonts w:ascii="Calibri" w:hAnsi="Calibri"/>
          <w:color w:val="1E293B"/>
          <w:sz w:val="21"/>
        </w:rPr>
        <w:t>Athenaeum-Ikedi is an enterprise-grade, web-based Library Management Platform engineered to modernize, streamline, and secure end-to-end library operations. By leveraging a modular Django architecture, mathematically verified ISBN processing, automated circulation rules, role-based security, and dynamic analytics, Athenaeum transforms library administration into a seamless experience.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shd w:fill="1E3A8A"/>
            <w:tcMar>
              <w:top w:w="120" w:type="dxa"/>
              <w:bottom w:w="120" w:type="dxa"/>
              <w:left w:w="120" w:type="dxa"/>
              <w:right w:w="120" w:type="dxa"/>
            </w:tcMar>
          </w:tcPr>
          <w:p>
            <w:r>
              <w:rPr>
                <w:rFonts w:ascii="Calibri" w:hAnsi="Calibri"/>
                <w:b/>
                <w:color w:val="FFFFFF"/>
                <w:sz w:val="20"/>
              </w:rPr>
              <w:t>Operational Domain</w:t>
            </w:r>
          </w:p>
        </w:tc>
        <w:tc>
          <w:tcPr>
            <w:tcW w:type="dxa" w:w="3312"/>
            <w:shd w:fill="1E3A8A"/>
            <w:tcMar>
              <w:top w:w="120" w:type="dxa"/>
              <w:bottom w:w="120" w:type="dxa"/>
              <w:left w:w="120" w:type="dxa"/>
              <w:right w:w="120" w:type="dxa"/>
            </w:tcMar>
          </w:tcPr>
          <w:p>
            <w:r>
              <w:rPr>
                <w:rFonts w:ascii="Calibri" w:hAnsi="Calibri"/>
                <w:b/>
                <w:color w:val="FFFFFF"/>
                <w:sz w:val="20"/>
              </w:rPr>
              <w:t>Legacy / Manual Problem</w:t>
            </w:r>
          </w:p>
        </w:tc>
        <w:tc>
          <w:tcPr>
            <w:tcW w:type="dxa" w:w="3456"/>
            <w:shd w:fill="1E3A8A"/>
            <w:tcMar>
              <w:top w:w="120" w:type="dxa"/>
              <w:bottom w:w="120" w:type="dxa"/>
              <w:left w:w="120" w:type="dxa"/>
              <w:right w:w="120" w:type="dxa"/>
            </w:tcMar>
          </w:tcPr>
          <w:p>
            <w:r>
              <w:rPr>
                <w:rFonts w:ascii="Calibri" w:hAnsi="Calibri"/>
                <w:b/>
                <w:color w:val="FFFFFF"/>
                <w:sz w:val="20"/>
              </w:rPr>
              <w:t>Athenaeum-Ikedi Solution</w:t>
            </w:r>
          </w:p>
        </w:tc>
      </w:tr>
      <w:tr>
        <w:tc>
          <w:tcPr>
            <w:tcW w:type="dxa" w:w="2592"/>
            <w:tcMar>
              <w:top w:w="100" w:type="dxa"/>
              <w:bottom w:w="100" w:type="dxa"/>
              <w:left w:w="120" w:type="dxa"/>
              <w:right w:w="120" w:type="dxa"/>
            </w:tcMar>
          </w:tcPr>
          <w:p>
            <w:r>
              <w:rPr>
                <w:rFonts w:ascii="Calibri" w:hAnsi="Calibri"/>
                <w:b/>
                <w:color w:val="1E293B"/>
                <w:sz w:val="19"/>
              </w:rPr>
              <w:t>Cataloging &amp; ISBN</w:t>
            </w:r>
          </w:p>
        </w:tc>
        <w:tc>
          <w:tcPr>
            <w:tcW w:type="dxa" w:w="3312"/>
            <w:tcMar>
              <w:top w:w="100" w:type="dxa"/>
              <w:bottom w:w="100" w:type="dxa"/>
              <w:left w:w="120" w:type="dxa"/>
              <w:right w:w="120" w:type="dxa"/>
            </w:tcMar>
          </w:tcPr>
          <w:p>
            <w:r>
              <w:rPr>
                <w:rFonts w:ascii="Calibri" w:hAnsi="Calibri"/>
                <w:color w:val="1E293B"/>
                <w:sz w:val="19"/>
              </w:rPr>
              <w:t>Typographical errors, non-validated ISBNs, duplicate entries for same title, broken search.</w:t>
            </w:r>
          </w:p>
        </w:tc>
        <w:tc>
          <w:tcPr>
            <w:tcW w:type="dxa" w:w="3456"/>
            <w:tcMar>
              <w:top w:w="100" w:type="dxa"/>
              <w:bottom w:w="100" w:type="dxa"/>
              <w:left w:w="120" w:type="dxa"/>
              <w:right w:w="120" w:type="dxa"/>
            </w:tcMar>
          </w:tcPr>
          <w:p>
            <w:r>
              <w:rPr>
                <w:rFonts w:ascii="Calibri" w:hAnsi="Calibri"/>
                <w:color w:val="1E293B"/>
                <w:sz w:val="19"/>
              </w:rPr>
              <w:t>Custom dual-standard mathematical validation (ISBN-10 modulo 11, ISBN-13 modulo 10) with automatic normalization and canonical database uniqueness.</w:t>
            </w:r>
          </w:p>
        </w:tc>
      </w:tr>
      <w:tr>
        <w:tc>
          <w:tcPr>
            <w:tcW w:type="dxa" w:w="2592"/>
            <w:tcMar>
              <w:top w:w="100" w:type="dxa"/>
              <w:bottom w:w="100" w:type="dxa"/>
              <w:left w:w="120" w:type="dxa"/>
              <w:right w:w="120" w:type="dxa"/>
            </w:tcMar>
            <w:shd w:fill="F8FAFC"/>
          </w:tcPr>
          <w:p>
            <w:r>
              <w:rPr>
                <w:rFonts w:ascii="Calibri" w:hAnsi="Calibri"/>
                <w:b/>
                <w:color w:val="1E293B"/>
                <w:sz w:val="19"/>
              </w:rPr>
              <w:t>Circulation &amp; Loans</w:t>
            </w:r>
          </w:p>
        </w:tc>
        <w:tc>
          <w:tcPr>
            <w:tcW w:type="dxa" w:w="3312"/>
            <w:tcMar>
              <w:top w:w="100" w:type="dxa"/>
              <w:bottom w:w="100" w:type="dxa"/>
              <w:left w:w="120" w:type="dxa"/>
              <w:right w:w="120" w:type="dxa"/>
            </w:tcMar>
            <w:shd w:fill="F8FAFC"/>
          </w:tcPr>
          <w:p>
            <w:r>
              <w:rPr>
                <w:rFonts w:ascii="Calibri" w:hAnsi="Calibri"/>
                <w:color w:val="1E293B"/>
                <w:sz w:val="19"/>
              </w:rPr>
              <w:t>Paper sign-outs, untracked book availability, over-borrowing, forgotten returns.</w:t>
            </w:r>
          </w:p>
        </w:tc>
        <w:tc>
          <w:tcPr>
            <w:tcW w:type="dxa" w:w="3456"/>
            <w:tcMar>
              <w:top w:w="100" w:type="dxa"/>
              <w:bottom w:w="100" w:type="dxa"/>
              <w:left w:w="120" w:type="dxa"/>
              <w:right w:w="120" w:type="dxa"/>
            </w:tcMar>
            <w:shd w:fill="F8FAFC"/>
          </w:tcPr>
          <w:p>
            <w:r>
              <w:rPr>
                <w:rFonts w:ascii="Calibri" w:hAnsi="Calibri"/>
                <w:color w:val="1E293B"/>
                <w:sz w:val="19"/>
              </w:rPr>
              <w:t>Automated borrowing engine enforcing max borrow limits, loan duration policies, instant copy availability updates, and one-click renewals.</w:t>
            </w:r>
          </w:p>
        </w:tc>
      </w:tr>
      <w:tr>
        <w:tc>
          <w:tcPr>
            <w:tcW w:type="dxa" w:w="2592"/>
            <w:tcMar>
              <w:top w:w="100" w:type="dxa"/>
              <w:bottom w:w="100" w:type="dxa"/>
              <w:left w:w="120" w:type="dxa"/>
              <w:right w:w="120" w:type="dxa"/>
            </w:tcMar>
          </w:tcPr>
          <w:p>
            <w:r>
              <w:rPr>
                <w:rFonts w:ascii="Calibri" w:hAnsi="Calibri"/>
                <w:b/>
                <w:color w:val="1E293B"/>
                <w:sz w:val="19"/>
              </w:rPr>
              <w:t>Fines &amp; Revenue</w:t>
            </w:r>
          </w:p>
        </w:tc>
        <w:tc>
          <w:tcPr>
            <w:tcW w:type="dxa" w:w="3312"/>
            <w:tcMar>
              <w:top w:w="100" w:type="dxa"/>
              <w:bottom w:w="100" w:type="dxa"/>
              <w:left w:w="120" w:type="dxa"/>
              <w:right w:w="120" w:type="dxa"/>
            </w:tcMar>
          </w:tcPr>
          <w:p>
            <w:r>
              <w:rPr>
                <w:rFonts w:ascii="Calibri" w:hAnsi="Calibri"/>
                <w:color w:val="1E293B"/>
                <w:sz w:val="19"/>
              </w:rPr>
              <w:t>Manual calculation of days overdue, missing records, disputes, unrecorded cash handling.</w:t>
            </w:r>
          </w:p>
        </w:tc>
        <w:tc>
          <w:tcPr>
            <w:tcW w:type="dxa" w:w="3456"/>
            <w:tcMar>
              <w:top w:w="100" w:type="dxa"/>
              <w:bottom w:w="100" w:type="dxa"/>
              <w:left w:w="120" w:type="dxa"/>
              <w:right w:w="120" w:type="dxa"/>
            </w:tcMar>
          </w:tcPr>
          <w:p>
            <w:r>
              <w:rPr>
                <w:rFonts w:ascii="Calibri" w:hAnsi="Calibri"/>
                <w:color w:val="1E293B"/>
                <w:sz w:val="19"/>
              </w:rPr>
              <w:t>Automated dynamic fine assessment based on daily grace periods, real-time balance tracking, status flags (Paid/Pending), and complete audit records.</w:t>
            </w:r>
          </w:p>
        </w:tc>
      </w:tr>
      <w:tr>
        <w:tc>
          <w:tcPr>
            <w:tcW w:type="dxa" w:w="2592"/>
            <w:tcMar>
              <w:top w:w="100" w:type="dxa"/>
              <w:bottom w:w="100" w:type="dxa"/>
              <w:left w:w="120" w:type="dxa"/>
              <w:right w:w="120" w:type="dxa"/>
            </w:tcMar>
            <w:shd w:fill="F8FAFC"/>
          </w:tcPr>
          <w:p>
            <w:r>
              <w:rPr>
                <w:rFonts w:ascii="Calibri" w:hAnsi="Calibri"/>
                <w:b/>
                <w:color w:val="1E293B"/>
                <w:sz w:val="19"/>
              </w:rPr>
              <w:t>Security &amp; Auth</w:t>
            </w:r>
          </w:p>
        </w:tc>
        <w:tc>
          <w:tcPr>
            <w:tcW w:type="dxa" w:w="3312"/>
            <w:tcMar>
              <w:top w:w="100" w:type="dxa"/>
              <w:bottom w:w="100" w:type="dxa"/>
              <w:left w:w="120" w:type="dxa"/>
              <w:right w:w="120" w:type="dxa"/>
            </w:tcMar>
            <w:shd w:fill="F8FAFC"/>
          </w:tcPr>
          <w:p>
            <w:r>
              <w:rPr>
                <w:rFonts w:ascii="Calibri" w:hAnsi="Calibri"/>
                <w:color w:val="1E293B"/>
                <w:sz w:val="19"/>
              </w:rPr>
              <w:t>Shared accounts, weak password algorithms, brute-force vulnerabilities, lack of CSRF/rate limiting.</w:t>
            </w:r>
          </w:p>
        </w:tc>
        <w:tc>
          <w:tcPr>
            <w:tcW w:type="dxa" w:w="3456"/>
            <w:tcMar>
              <w:top w:w="100" w:type="dxa"/>
              <w:bottom w:w="100" w:type="dxa"/>
              <w:left w:w="120" w:type="dxa"/>
              <w:right w:w="120" w:type="dxa"/>
            </w:tcMar>
            <w:shd w:fill="F8FAFC"/>
          </w:tcPr>
          <w:p>
            <w:r>
              <w:rPr>
                <w:rFonts w:ascii="Calibri" w:hAnsi="Calibri"/>
                <w:color w:val="1E293B"/>
                <w:sz w:val="19"/>
              </w:rPr>
              <w:t>Argon2 password hashing, django-ratelimit on login endpoints, role-based access control (Admin, Librarian, Member, Staff), secure session management.</w:t>
            </w:r>
          </w:p>
        </w:tc>
      </w:tr>
      <w:tr>
        <w:tc>
          <w:tcPr>
            <w:tcW w:type="dxa" w:w="2592"/>
            <w:tcMar>
              <w:top w:w="100" w:type="dxa"/>
              <w:bottom w:w="100" w:type="dxa"/>
              <w:left w:w="120" w:type="dxa"/>
              <w:right w:w="120" w:type="dxa"/>
            </w:tcMar>
          </w:tcPr>
          <w:p>
            <w:r>
              <w:rPr>
                <w:rFonts w:ascii="Calibri" w:hAnsi="Calibri"/>
                <w:b/>
                <w:color w:val="1E293B"/>
                <w:sz w:val="19"/>
              </w:rPr>
              <w:t>Member Self-Service</w:t>
            </w:r>
          </w:p>
        </w:tc>
        <w:tc>
          <w:tcPr>
            <w:tcW w:type="dxa" w:w="3312"/>
            <w:tcMar>
              <w:top w:w="100" w:type="dxa"/>
              <w:bottom w:w="100" w:type="dxa"/>
              <w:left w:w="120" w:type="dxa"/>
              <w:right w:w="120" w:type="dxa"/>
            </w:tcMar>
          </w:tcPr>
          <w:p>
            <w:r>
              <w:rPr>
                <w:rFonts w:ascii="Calibri" w:hAnsi="Calibri"/>
                <w:color w:val="1E293B"/>
                <w:sz w:val="19"/>
              </w:rPr>
              <w:t>Patrons must visit circulation desk to check loan dates, fines, or search inventory.</w:t>
            </w:r>
          </w:p>
        </w:tc>
        <w:tc>
          <w:tcPr>
            <w:tcW w:type="dxa" w:w="3456"/>
            <w:tcMar>
              <w:top w:w="100" w:type="dxa"/>
              <w:bottom w:w="100" w:type="dxa"/>
              <w:left w:w="120" w:type="dxa"/>
              <w:right w:w="120" w:type="dxa"/>
            </w:tcMar>
          </w:tcPr>
          <w:p>
            <w:r>
              <w:rPr>
                <w:rFonts w:ascii="Calibri" w:hAnsi="Calibri"/>
                <w:color w:val="1E293B"/>
                <w:sz w:val="19"/>
              </w:rPr>
              <w:t>Modern responsive portal with personal borrow history, active loan countdowns, outstanding balance alerts, and full catalog search/filtering.</w:t>
            </w:r>
          </w:p>
        </w:tc>
      </w:tr>
      <w:tr>
        <w:tc>
          <w:tcPr>
            <w:tcW w:type="dxa" w:w="2592"/>
            <w:tcMar>
              <w:top w:w="100" w:type="dxa"/>
              <w:bottom w:w="100" w:type="dxa"/>
              <w:left w:w="120" w:type="dxa"/>
              <w:right w:w="120" w:type="dxa"/>
            </w:tcMar>
            <w:shd w:fill="F8FAFC"/>
          </w:tcPr>
          <w:p>
            <w:r>
              <w:rPr>
                <w:rFonts w:ascii="Calibri" w:hAnsi="Calibri"/>
                <w:b/>
                <w:color w:val="1E293B"/>
                <w:sz w:val="19"/>
              </w:rPr>
              <w:t>Reporting &amp; Analytics</w:t>
            </w:r>
          </w:p>
        </w:tc>
        <w:tc>
          <w:tcPr>
            <w:tcW w:type="dxa" w:w="3312"/>
            <w:tcMar>
              <w:top w:w="100" w:type="dxa"/>
              <w:bottom w:w="100" w:type="dxa"/>
              <w:left w:w="120" w:type="dxa"/>
              <w:right w:w="120" w:type="dxa"/>
            </w:tcMar>
            <w:shd w:fill="F8FAFC"/>
          </w:tcPr>
          <w:p>
            <w:r>
              <w:rPr>
                <w:rFonts w:ascii="Calibri" w:hAnsi="Calibri"/>
                <w:color w:val="1E293B"/>
                <w:sz w:val="19"/>
              </w:rPr>
              <w:t>Manual inventory tallying, zero visibility into borrowing trends and lost assets.</w:t>
            </w:r>
          </w:p>
        </w:tc>
        <w:tc>
          <w:tcPr>
            <w:tcW w:type="dxa" w:w="3456"/>
            <w:tcMar>
              <w:top w:w="100" w:type="dxa"/>
              <w:bottom w:w="100" w:type="dxa"/>
              <w:left w:w="120" w:type="dxa"/>
              <w:right w:w="120" w:type="dxa"/>
            </w:tcMar>
            <w:shd w:fill="F8FAFC"/>
          </w:tcPr>
          <w:p>
            <w:r>
              <w:rPr>
                <w:rFonts w:ascii="Calibri" w:hAnsi="Calibri"/>
                <w:color w:val="1E293B"/>
                <w:sz w:val="19"/>
              </w:rPr>
              <w:t>Visual analytics dashboard with KPI tiles, circulation velocity metrics, category distributions, and automated ReportLab PDF export capabilities.</w:t>
            </w:r>
          </w:p>
        </w:tc>
      </w:tr>
    </w:tbl>
    <w:p>
      <w:pPr>
        <w:spacing w:after="240"/>
      </w:pPr>
    </w:p>
    <w:p>
      <w:pPr>
        <w:keepNext/>
        <w:spacing w:before="360" w:after="120"/>
      </w:pPr>
      <w:r>
        <w:rPr>
          <w:rFonts w:ascii="Calibri" w:hAnsi="Calibri"/>
          <w:b/>
          <w:color w:val="1E3A8A"/>
          <w:sz w:val="32"/>
        </w:rPr>
        <w:t>3. Comprehensive Packages, Dependencies &amp; Integration Map</w:t>
      </w:r>
    </w:p>
    <w:p>
      <w:pPr>
        <w:spacing w:before="0" w:after="120" w:line="276" w:lineRule="auto"/>
      </w:pPr>
      <w:r>
        <w:rPr>
          <w:rFonts w:ascii="Calibri" w:hAnsi="Calibri"/>
          <w:color w:val="1E293B"/>
          <w:sz w:val="21"/>
        </w:rPr>
        <w:t>Every third-party library in the Athenaeum environment was selected to provide maximum performance, cryptographic security, and maintainability. The table below details every package in requirements.txt, its exact version, its purpose, and the specific modules where it is integrated across the codebase: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592"/>
            <w:shd w:fill="1E3A8A"/>
            <w:tcMar>
              <w:top w:w="120" w:type="dxa"/>
              <w:bottom w:w="120" w:type="dxa"/>
              <w:left w:w="100" w:type="dxa"/>
              <w:right w:w="100" w:type="dxa"/>
            </w:tcMar>
          </w:tcPr>
          <w:p>
            <w:r>
              <w:rPr>
                <w:rFonts w:ascii="Calibri" w:hAnsi="Calibri"/>
                <w:b/>
                <w:color w:val="FFFFFF"/>
                <w:sz w:val="19"/>
              </w:rPr>
              <w:t>Package Name</w:t>
            </w:r>
          </w:p>
        </w:tc>
        <w:tc>
          <w:tcPr>
            <w:tcW w:type="dxa" w:w="1296"/>
            <w:shd w:fill="1E3A8A"/>
            <w:tcMar>
              <w:top w:w="120" w:type="dxa"/>
              <w:bottom w:w="120" w:type="dxa"/>
              <w:left w:w="100" w:type="dxa"/>
              <w:right w:w="100" w:type="dxa"/>
            </w:tcMar>
          </w:tcPr>
          <w:p>
            <w:r>
              <w:rPr>
                <w:rFonts w:ascii="Calibri" w:hAnsi="Calibri"/>
                <w:b/>
                <w:color w:val="FFFFFF"/>
                <w:sz w:val="19"/>
              </w:rPr>
              <w:t>Version</w:t>
            </w:r>
          </w:p>
        </w:tc>
        <w:tc>
          <w:tcPr>
            <w:tcW w:type="dxa" w:w="3024"/>
            <w:shd w:fill="1E3A8A"/>
            <w:tcMar>
              <w:top w:w="120" w:type="dxa"/>
              <w:bottom w:w="120" w:type="dxa"/>
              <w:left w:w="100" w:type="dxa"/>
              <w:right w:w="100" w:type="dxa"/>
            </w:tcMar>
          </w:tcPr>
          <w:p>
            <w:r>
              <w:rPr>
                <w:rFonts w:ascii="Calibri" w:hAnsi="Calibri"/>
                <w:b/>
                <w:color w:val="FFFFFF"/>
                <w:sz w:val="19"/>
              </w:rPr>
              <w:t>Role &amp; Functionality</w:t>
            </w:r>
          </w:p>
        </w:tc>
        <w:tc>
          <w:tcPr>
            <w:tcW w:type="dxa" w:w="2448"/>
            <w:shd w:fill="1E3A8A"/>
            <w:tcMar>
              <w:top w:w="120" w:type="dxa"/>
              <w:bottom w:w="120" w:type="dxa"/>
              <w:left w:w="100" w:type="dxa"/>
              <w:right w:w="100" w:type="dxa"/>
            </w:tcMar>
          </w:tcPr>
          <w:p>
            <w:r>
              <w:rPr>
                <w:rFonts w:ascii="Calibri" w:hAnsi="Calibri"/>
                <w:b/>
                <w:color w:val="FFFFFF"/>
                <w:sz w:val="19"/>
              </w:rPr>
              <w:t>Implementation Location</w:t>
            </w:r>
          </w:p>
        </w:tc>
      </w:tr>
      <w:tr>
        <w:tc>
          <w:tcPr>
            <w:tcW w:type="dxa" w:w="2592"/>
            <w:tcMar>
              <w:top w:w="90" w:type="dxa"/>
              <w:bottom w:w="90" w:type="dxa"/>
              <w:left w:w="90" w:type="dxa"/>
              <w:right w:w="90" w:type="dxa"/>
            </w:tcMar>
          </w:tcPr>
          <w:p>
            <w:r>
              <w:rPr>
                <w:rFonts w:ascii="Calibri" w:hAnsi="Calibri"/>
                <w:b/>
                <w:color w:val="1E293B"/>
                <w:sz w:val="19"/>
              </w:rPr>
              <w:t>Django</w:t>
            </w:r>
          </w:p>
        </w:tc>
        <w:tc>
          <w:tcPr>
            <w:tcW w:type="dxa" w:w="1296"/>
            <w:tcMar>
              <w:top w:w="90" w:type="dxa"/>
              <w:bottom w:w="90" w:type="dxa"/>
              <w:left w:w="90" w:type="dxa"/>
              <w:right w:w="90" w:type="dxa"/>
            </w:tcMar>
          </w:tcPr>
          <w:p>
            <w:r>
              <w:rPr>
                <w:rFonts w:ascii="Calibri" w:hAnsi="Calibri"/>
                <w:color w:val="64748B"/>
                <w:sz w:val="18"/>
              </w:rPr>
              <w:t>6.1.1</w:t>
            </w:r>
          </w:p>
        </w:tc>
        <w:tc>
          <w:tcPr>
            <w:tcW w:type="dxa" w:w="3024"/>
            <w:tcMar>
              <w:top w:w="90" w:type="dxa"/>
              <w:bottom w:w="90" w:type="dxa"/>
              <w:left w:w="90" w:type="dxa"/>
              <w:right w:w="90" w:type="dxa"/>
            </w:tcMar>
          </w:tcPr>
          <w:p>
            <w:r>
              <w:rPr>
                <w:rFonts w:ascii="Calibri" w:hAnsi="Calibri"/>
                <w:color w:val="1E293B"/>
                <w:sz w:val="18"/>
              </w:rPr>
              <w:t>Core web framework providing the Model-View-Template architecture, ORM, URL routing, migration engine, session management, CSRF middleware, and built-in Admin portal.</w:t>
            </w:r>
          </w:p>
        </w:tc>
        <w:tc>
          <w:tcPr>
            <w:tcW w:type="dxa" w:w="2448"/>
            <w:tcMar>
              <w:top w:w="90" w:type="dxa"/>
              <w:bottom w:w="90" w:type="dxa"/>
              <w:left w:w="90" w:type="dxa"/>
              <w:right w:w="90" w:type="dxa"/>
            </w:tcMar>
          </w:tcPr>
          <w:p>
            <w:r>
              <w:rPr>
                <w:rFonts w:ascii="Calibri" w:hAnsi="Calibri"/>
                <w:color w:val="2563EB"/>
                <w:sz w:val="17"/>
              </w:rPr>
              <w:t>Entire project: config/settings.py, config/urls.py, all apps (accounts, catalog, circulation, dashboard).</w:t>
            </w:r>
          </w:p>
        </w:tc>
      </w:tr>
      <w:tr>
        <w:tc>
          <w:tcPr>
            <w:tcW w:type="dxa" w:w="2592"/>
            <w:tcMar>
              <w:top w:w="90" w:type="dxa"/>
              <w:bottom w:w="90" w:type="dxa"/>
              <w:left w:w="90" w:type="dxa"/>
              <w:right w:w="90" w:type="dxa"/>
            </w:tcMar>
            <w:shd w:fill="F8FAFC"/>
          </w:tcPr>
          <w:p>
            <w:r>
              <w:rPr>
                <w:rFonts w:ascii="Calibri" w:hAnsi="Calibri"/>
                <w:b/>
                <w:color w:val="1E293B"/>
                <w:sz w:val="19"/>
              </w:rPr>
              <w:t>python-decouple</w:t>
            </w:r>
          </w:p>
        </w:tc>
        <w:tc>
          <w:tcPr>
            <w:tcW w:type="dxa" w:w="1296"/>
            <w:tcMar>
              <w:top w:w="90" w:type="dxa"/>
              <w:bottom w:w="90" w:type="dxa"/>
              <w:left w:w="90" w:type="dxa"/>
              <w:right w:w="90" w:type="dxa"/>
            </w:tcMar>
            <w:shd w:fill="F8FAFC"/>
          </w:tcPr>
          <w:p>
            <w:r>
              <w:rPr>
                <w:rFonts w:ascii="Calibri" w:hAnsi="Calibri"/>
                <w:color w:val="64748B"/>
                <w:sz w:val="18"/>
              </w:rPr>
              <w:t>3.8</w:t>
            </w:r>
          </w:p>
        </w:tc>
        <w:tc>
          <w:tcPr>
            <w:tcW w:type="dxa" w:w="3024"/>
            <w:tcMar>
              <w:top w:w="90" w:type="dxa"/>
              <w:bottom w:w="90" w:type="dxa"/>
              <w:left w:w="90" w:type="dxa"/>
              <w:right w:w="90" w:type="dxa"/>
            </w:tcMar>
            <w:shd w:fill="F8FAFC"/>
          </w:tcPr>
          <w:p>
            <w:r>
              <w:rPr>
                <w:rFonts w:ascii="Calibri" w:hAnsi="Calibri"/>
                <w:color w:val="1E293B"/>
                <w:sz w:val="18"/>
              </w:rPr>
              <w:t>Strict separation of configuration parameters and secrets from source code. Reads environment variables from .env for SECRET_KEY, DEBUG, ALLOWED_HOSTS, and database credentials.</w:t>
            </w:r>
          </w:p>
        </w:tc>
        <w:tc>
          <w:tcPr>
            <w:tcW w:type="dxa" w:w="2448"/>
            <w:tcMar>
              <w:top w:w="90" w:type="dxa"/>
              <w:bottom w:w="90" w:type="dxa"/>
              <w:left w:w="90" w:type="dxa"/>
              <w:right w:w="90" w:type="dxa"/>
            </w:tcMar>
            <w:shd w:fill="F8FAFC"/>
          </w:tcPr>
          <w:p>
            <w:r>
              <w:rPr>
                <w:rFonts w:ascii="Calibri" w:hAnsi="Calibri"/>
                <w:color w:val="2563EB"/>
                <w:sz w:val="17"/>
              </w:rPr>
              <w:t>config/settings.py (.env file loading, cast types for boolean and list configs).</w:t>
            </w:r>
          </w:p>
        </w:tc>
      </w:tr>
      <w:tr>
        <w:tc>
          <w:tcPr>
            <w:tcW w:type="dxa" w:w="2592"/>
            <w:tcMar>
              <w:top w:w="90" w:type="dxa"/>
              <w:bottom w:w="90" w:type="dxa"/>
              <w:left w:w="90" w:type="dxa"/>
              <w:right w:w="90" w:type="dxa"/>
            </w:tcMar>
          </w:tcPr>
          <w:p>
            <w:r>
              <w:rPr>
                <w:rFonts w:ascii="Calibri" w:hAnsi="Calibri"/>
                <w:b/>
                <w:color w:val="1E293B"/>
                <w:sz w:val="19"/>
              </w:rPr>
              <w:t>argon2-cffi</w:t>
            </w:r>
          </w:p>
        </w:tc>
        <w:tc>
          <w:tcPr>
            <w:tcW w:type="dxa" w:w="1296"/>
            <w:tcMar>
              <w:top w:w="90" w:type="dxa"/>
              <w:bottom w:w="90" w:type="dxa"/>
              <w:left w:w="90" w:type="dxa"/>
              <w:right w:w="90" w:type="dxa"/>
            </w:tcMar>
          </w:tcPr>
          <w:p>
            <w:r>
              <w:rPr>
                <w:rFonts w:ascii="Calibri" w:hAnsi="Calibri"/>
                <w:color w:val="64748B"/>
                <w:sz w:val="18"/>
              </w:rPr>
              <w:t>25.1.0</w:t>
            </w:r>
          </w:p>
        </w:tc>
        <w:tc>
          <w:tcPr>
            <w:tcW w:type="dxa" w:w="3024"/>
            <w:tcMar>
              <w:top w:w="90" w:type="dxa"/>
              <w:bottom w:w="90" w:type="dxa"/>
              <w:left w:w="90" w:type="dxa"/>
              <w:right w:w="90" w:type="dxa"/>
            </w:tcMar>
          </w:tcPr>
          <w:p>
            <w:r>
              <w:rPr>
                <w:rFonts w:ascii="Calibri" w:hAnsi="Calibri"/>
                <w:color w:val="1E293B"/>
                <w:sz w:val="18"/>
              </w:rPr>
              <w:t>High-security Argon2 password hashing algorithm, the winner of the Password Hashing Competition (PHC). Immune to GPU/ASIC cracking via memory-hard computational resistance.</w:t>
            </w:r>
          </w:p>
        </w:tc>
        <w:tc>
          <w:tcPr>
            <w:tcW w:type="dxa" w:w="2448"/>
            <w:tcMar>
              <w:top w:w="90" w:type="dxa"/>
              <w:bottom w:w="90" w:type="dxa"/>
              <w:left w:w="90" w:type="dxa"/>
              <w:right w:w="90" w:type="dxa"/>
            </w:tcMar>
          </w:tcPr>
          <w:p>
            <w:r>
              <w:rPr>
                <w:rFonts w:ascii="Calibri" w:hAnsi="Calibri"/>
                <w:color w:val="2563EB"/>
                <w:sz w:val="17"/>
              </w:rPr>
              <w:t>config/settings.py (PASSWORD_HASHERS configuration) &amp; accounts/models.py (secure user credentials).</w:t>
            </w:r>
          </w:p>
        </w:tc>
      </w:tr>
      <w:tr>
        <w:tc>
          <w:tcPr>
            <w:tcW w:type="dxa" w:w="2592"/>
            <w:tcMar>
              <w:top w:w="90" w:type="dxa"/>
              <w:bottom w:w="90" w:type="dxa"/>
              <w:left w:w="90" w:type="dxa"/>
              <w:right w:w="90" w:type="dxa"/>
            </w:tcMar>
            <w:shd w:fill="F8FAFC"/>
          </w:tcPr>
          <w:p>
            <w:r>
              <w:rPr>
                <w:rFonts w:ascii="Calibri" w:hAnsi="Calibri"/>
                <w:b/>
                <w:color w:val="1E293B"/>
                <w:sz w:val="19"/>
              </w:rPr>
              <w:t>argon2-cffi-bindings</w:t>
            </w:r>
          </w:p>
        </w:tc>
        <w:tc>
          <w:tcPr>
            <w:tcW w:type="dxa" w:w="1296"/>
            <w:tcMar>
              <w:top w:w="90" w:type="dxa"/>
              <w:bottom w:w="90" w:type="dxa"/>
              <w:left w:w="90" w:type="dxa"/>
              <w:right w:w="90" w:type="dxa"/>
            </w:tcMar>
            <w:shd w:fill="F8FAFC"/>
          </w:tcPr>
          <w:p>
            <w:r>
              <w:rPr>
                <w:rFonts w:ascii="Calibri" w:hAnsi="Calibri"/>
                <w:color w:val="64748B"/>
                <w:sz w:val="18"/>
              </w:rPr>
              <w:t>26.1.0</w:t>
            </w:r>
          </w:p>
        </w:tc>
        <w:tc>
          <w:tcPr>
            <w:tcW w:type="dxa" w:w="3024"/>
            <w:tcMar>
              <w:top w:w="90" w:type="dxa"/>
              <w:bottom w:w="90" w:type="dxa"/>
              <w:left w:w="90" w:type="dxa"/>
              <w:right w:w="90" w:type="dxa"/>
            </w:tcMar>
            <w:shd w:fill="F8FAFC"/>
          </w:tcPr>
          <w:p>
            <w:r>
              <w:rPr>
                <w:rFonts w:ascii="Calibri" w:hAnsi="Calibri"/>
                <w:color w:val="1E293B"/>
                <w:sz w:val="18"/>
              </w:rPr>
              <w:t>Low-level C-bindings interfacing Python with the optimized C implementation of the Argon2 reference library.</w:t>
            </w:r>
          </w:p>
        </w:tc>
        <w:tc>
          <w:tcPr>
            <w:tcW w:type="dxa" w:w="2448"/>
            <w:tcMar>
              <w:top w:w="90" w:type="dxa"/>
              <w:bottom w:w="90" w:type="dxa"/>
              <w:left w:w="90" w:type="dxa"/>
              <w:right w:w="90" w:type="dxa"/>
            </w:tcMar>
            <w:shd w:fill="F8FAFC"/>
          </w:tcPr>
          <w:p>
            <w:r>
              <w:rPr>
                <w:rFonts w:ascii="Calibri" w:hAnsi="Calibri"/>
                <w:color w:val="2563EB"/>
                <w:sz w:val="17"/>
              </w:rPr>
              <w:t>System dependency utilized directly by argon2-cffi during password verification and generation.</w:t>
            </w:r>
          </w:p>
        </w:tc>
      </w:tr>
      <w:tr>
        <w:tc>
          <w:tcPr>
            <w:tcW w:type="dxa" w:w="2592"/>
            <w:tcMar>
              <w:top w:w="90" w:type="dxa"/>
              <w:bottom w:w="90" w:type="dxa"/>
              <w:left w:w="90" w:type="dxa"/>
              <w:right w:w="90" w:type="dxa"/>
            </w:tcMar>
          </w:tcPr>
          <w:p>
            <w:r>
              <w:rPr>
                <w:rFonts w:ascii="Calibri" w:hAnsi="Calibri"/>
                <w:b/>
                <w:color w:val="1E293B"/>
                <w:sz w:val="19"/>
              </w:rPr>
              <w:t>django-ratelimit</w:t>
            </w:r>
          </w:p>
        </w:tc>
        <w:tc>
          <w:tcPr>
            <w:tcW w:type="dxa" w:w="1296"/>
            <w:tcMar>
              <w:top w:w="90" w:type="dxa"/>
              <w:bottom w:w="90" w:type="dxa"/>
              <w:left w:w="90" w:type="dxa"/>
              <w:right w:w="90" w:type="dxa"/>
            </w:tcMar>
          </w:tcPr>
          <w:p>
            <w:r>
              <w:rPr>
                <w:rFonts w:ascii="Calibri" w:hAnsi="Calibri"/>
                <w:color w:val="64748B"/>
                <w:sz w:val="18"/>
              </w:rPr>
              <w:t>4.1.0</w:t>
            </w:r>
          </w:p>
        </w:tc>
        <w:tc>
          <w:tcPr>
            <w:tcW w:type="dxa" w:w="3024"/>
            <w:tcMar>
              <w:top w:w="90" w:type="dxa"/>
              <w:bottom w:w="90" w:type="dxa"/>
              <w:left w:w="90" w:type="dxa"/>
              <w:right w:w="90" w:type="dxa"/>
            </w:tcMar>
          </w:tcPr>
          <w:p>
            <w:r>
              <w:rPr>
                <w:rFonts w:ascii="Calibri" w:hAnsi="Calibri"/>
                <w:color w:val="1E293B"/>
                <w:sz w:val="18"/>
              </w:rPr>
              <w:t>Security decorator that enforces request rate limits per IP address or user account, preventing brute-force login guessing and credential stuffing attacks.</w:t>
            </w:r>
          </w:p>
        </w:tc>
        <w:tc>
          <w:tcPr>
            <w:tcW w:type="dxa" w:w="2448"/>
            <w:tcMar>
              <w:top w:w="90" w:type="dxa"/>
              <w:bottom w:w="90" w:type="dxa"/>
              <w:left w:w="90" w:type="dxa"/>
              <w:right w:w="90" w:type="dxa"/>
            </w:tcMar>
          </w:tcPr>
          <w:p>
            <w:r>
              <w:rPr>
                <w:rFonts w:ascii="Calibri" w:hAnsi="Calibri"/>
                <w:color w:val="2563EB"/>
                <w:sz w:val="17"/>
              </w:rPr>
              <w:t>accounts/views.py (attached to login, registration, and sensitive authentication post actions).</w:t>
            </w:r>
          </w:p>
        </w:tc>
      </w:tr>
      <w:tr>
        <w:tc>
          <w:tcPr>
            <w:tcW w:type="dxa" w:w="2592"/>
            <w:tcMar>
              <w:top w:w="90" w:type="dxa"/>
              <w:bottom w:w="90" w:type="dxa"/>
              <w:left w:w="90" w:type="dxa"/>
              <w:right w:w="90" w:type="dxa"/>
            </w:tcMar>
            <w:shd w:fill="F8FAFC"/>
          </w:tcPr>
          <w:p>
            <w:r>
              <w:rPr>
                <w:rFonts w:ascii="Calibri" w:hAnsi="Calibri"/>
                <w:b/>
                <w:color w:val="1E293B"/>
                <w:sz w:val="19"/>
              </w:rPr>
              <w:t>pillow</w:t>
            </w:r>
          </w:p>
        </w:tc>
        <w:tc>
          <w:tcPr>
            <w:tcW w:type="dxa" w:w="1296"/>
            <w:tcMar>
              <w:top w:w="90" w:type="dxa"/>
              <w:bottom w:w="90" w:type="dxa"/>
              <w:left w:w="90" w:type="dxa"/>
              <w:right w:w="90" w:type="dxa"/>
            </w:tcMar>
            <w:shd w:fill="F8FAFC"/>
          </w:tcPr>
          <w:p>
            <w:r>
              <w:rPr>
                <w:rFonts w:ascii="Calibri" w:hAnsi="Calibri"/>
                <w:color w:val="64748B"/>
                <w:sz w:val="18"/>
              </w:rPr>
              <w:t>12.3.0</w:t>
            </w:r>
          </w:p>
        </w:tc>
        <w:tc>
          <w:tcPr>
            <w:tcW w:type="dxa" w:w="3024"/>
            <w:tcMar>
              <w:top w:w="90" w:type="dxa"/>
              <w:bottom w:w="90" w:type="dxa"/>
              <w:left w:w="90" w:type="dxa"/>
              <w:right w:w="90" w:type="dxa"/>
            </w:tcMar>
            <w:shd w:fill="F8FAFC"/>
          </w:tcPr>
          <w:p>
            <w:r>
              <w:rPr>
                <w:rFonts w:ascii="Calibri" w:hAnsi="Calibri"/>
                <w:color w:val="1E293B"/>
                <w:sz w:val="18"/>
              </w:rPr>
              <w:t>Python Imaging Library (PIL fork) used for image processing, dimension checking, format validation, and thumbnail rendering for uploaded book covers and user profile avatars.</w:t>
            </w:r>
          </w:p>
        </w:tc>
        <w:tc>
          <w:tcPr>
            <w:tcW w:type="dxa" w:w="2448"/>
            <w:tcMar>
              <w:top w:w="90" w:type="dxa"/>
              <w:bottom w:w="90" w:type="dxa"/>
              <w:left w:w="90" w:type="dxa"/>
              <w:right w:w="90" w:type="dxa"/>
            </w:tcMar>
            <w:shd w:fill="F8FAFC"/>
          </w:tcPr>
          <w:p>
            <w:r>
              <w:rPr>
                <w:rFonts w:ascii="Calibri" w:hAnsi="Calibri"/>
                <w:color w:val="2563EB"/>
                <w:sz w:val="17"/>
              </w:rPr>
              <w:t>catalog/models.py (ImageField on Book), accounts/models.py (avatar/profile picture), catalog/forms.py.</w:t>
            </w:r>
          </w:p>
        </w:tc>
      </w:tr>
      <w:tr>
        <w:tc>
          <w:tcPr>
            <w:tcW w:type="dxa" w:w="2592"/>
            <w:tcMar>
              <w:top w:w="90" w:type="dxa"/>
              <w:bottom w:w="90" w:type="dxa"/>
              <w:left w:w="90" w:type="dxa"/>
              <w:right w:w="90" w:type="dxa"/>
            </w:tcMar>
          </w:tcPr>
          <w:p>
            <w:r>
              <w:rPr>
                <w:rFonts w:ascii="Calibri" w:hAnsi="Calibri"/>
                <w:b/>
                <w:color w:val="1E293B"/>
                <w:sz w:val="19"/>
              </w:rPr>
              <w:t>reportlab</w:t>
            </w:r>
          </w:p>
        </w:tc>
        <w:tc>
          <w:tcPr>
            <w:tcW w:type="dxa" w:w="1296"/>
            <w:tcMar>
              <w:top w:w="90" w:type="dxa"/>
              <w:bottom w:w="90" w:type="dxa"/>
              <w:left w:w="90" w:type="dxa"/>
              <w:right w:w="90" w:type="dxa"/>
            </w:tcMar>
          </w:tcPr>
          <w:p>
            <w:r>
              <w:rPr>
                <w:rFonts w:ascii="Calibri" w:hAnsi="Calibri"/>
                <w:color w:val="64748B"/>
                <w:sz w:val="18"/>
              </w:rPr>
              <w:t>5.0.1</w:t>
            </w:r>
          </w:p>
        </w:tc>
        <w:tc>
          <w:tcPr>
            <w:tcW w:type="dxa" w:w="3024"/>
            <w:tcMar>
              <w:top w:w="90" w:type="dxa"/>
              <w:bottom w:w="90" w:type="dxa"/>
              <w:left w:w="90" w:type="dxa"/>
              <w:right w:w="90" w:type="dxa"/>
            </w:tcMar>
          </w:tcPr>
          <w:p>
            <w:r>
              <w:rPr>
                <w:rFonts w:ascii="Calibri" w:hAnsi="Calibri"/>
                <w:color w:val="1E293B"/>
                <w:sz w:val="18"/>
              </w:rPr>
              <w:t>PDF generation and document styling engine. Used to programmatically construct downloadable reports, borrower transaction summaries, fine receipts, and catalog printouts.</w:t>
            </w:r>
          </w:p>
        </w:tc>
        <w:tc>
          <w:tcPr>
            <w:tcW w:type="dxa" w:w="2448"/>
            <w:tcMar>
              <w:top w:w="90" w:type="dxa"/>
              <w:bottom w:w="90" w:type="dxa"/>
              <w:left w:w="90" w:type="dxa"/>
              <w:right w:w="90" w:type="dxa"/>
            </w:tcMar>
          </w:tcPr>
          <w:p>
            <w:r>
              <w:rPr>
                <w:rFonts w:ascii="Calibri" w:hAnsi="Calibri"/>
                <w:color w:val="2563EB"/>
                <w:sz w:val="17"/>
              </w:rPr>
              <w:t>circulation/views.py &amp; dashboard/views.py (export PDF circulation summaries, receipts, overdue reports).</w:t>
            </w:r>
          </w:p>
        </w:tc>
      </w:tr>
      <w:tr>
        <w:tc>
          <w:tcPr>
            <w:tcW w:type="dxa" w:w="2592"/>
            <w:tcMar>
              <w:top w:w="90" w:type="dxa"/>
              <w:bottom w:w="90" w:type="dxa"/>
              <w:left w:w="90" w:type="dxa"/>
              <w:right w:w="90" w:type="dxa"/>
            </w:tcMar>
            <w:shd w:fill="F8FAFC"/>
          </w:tcPr>
          <w:p>
            <w:r>
              <w:rPr>
                <w:rFonts w:ascii="Calibri" w:hAnsi="Calibri"/>
                <w:b/>
                <w:color w:val="1E293B"/>
                <w:sz w:val="19"/>
              </w:rPr>
              <w:t>asgiref</w:t>
            </w:r>
          </w:p>
        </w:tc>
        <w:tc>
          <w:tcPr>
            <w:tcW w:type="dxa" w:w="1296"/>
            <w:tcMar>
              <w:top w:w="90" w:type="dxa"/>
              <w:bottom w:w="90" w:type="dxa"/>
              <w:left w:w="90" w:type="dxa"/>
              <w:right w:w="90" w:type="dxa"/>
            </w:tcMar>
            <w:shd w:fill="F8FAFC"/>
          </w:tcPr>
          <w:p>
            <w:r>
              <w:rPr>
                <w:rFonts w:ascii="Calibri" w:hAnsi="Calibri"/>
                <w:color w:val="64748B"/>
                <w:sz w:val="18"/>
              </w:rPr>
              <w:t>3.12.1</w:t>
            </w:r>
          </w:p>
        </w:tc>
        <w:tc>
          <w:tcPr>
            <w:tcW w:type="dxa" w:w="3024"/>
            <w:tcMar>
              <w:top w:w="90" w:type="dxa"/>
              <w:bottom w:w="90" w:type="dxa"/>
              <w:left w:w="90" w:type="dxa"/>
              <w:right w:w="90" w:type="dxa"/>
            </w:tcMar>
            <w:shd w:fill="F8FAFC"/>
          </w:tcPr>
          <w:p>
            <w:r>
              <w:rPr>
                <w:rFonts w:ascii="Calibri" w:hAnsi="Calibri"/>
                <w:color w:val="1E293B"/>
                <w:sz w:val="18"/>
              </w:rPr>
              <w:t>Standard ASGI (Asynchronous Server Gateway Interface) library enabling asynchronous request handling, database adapters, and future WebSocket or async event capabilities.</w:t>
            </w:r>
          </w:p>
        </w:tc>
        <w:tc>
          <w:tcPr>
            <w:tcW w:type="dxa" w:w="2448"/>
            <w:tcMar>
              <w:top w:w="90" w:type="dxa"/>
              <w:bottom w:w="90" w:type="dxa"/>
              <w:left w:w="90" w:type="dxa"/>
              <w:right w:w="90" w:type="dxa"/>
            </w:tcMar>
            <w:shd w:fill="F8FAFC"/>
          </w:tcPr>
          <w:p>
            <w:r>
              <w:rPr>
                <w:rFonts w:ascii="Calibri" w:hAnsi="Calibri"/>
                <w:color w:val="2563EB"/>
                <w:sz w:val="17"/>
              </w:rPr>
              <w:t>config/asgi.py, Django internal request-response cycle.</w:t>
            </w:r>
          </w:p>
        </w:tc>
      </w:tr>
      <w:tr>
        <w:tc>
          <w:tcPr>
            <w:tcW w:type="dxa" w:w="2592"/>
            <w:tcMar>
              <w:top w:w="90" w:type="dxa"/>
              <w:bottom w:w="90" w:type="dxa"/>
              <w:left w:w="90" w:type="dxa"/>
              <w:right w:w="90" w:type="dxa"/>
            </w:tcMar>
          </w:tcPr>
          <w:p>
            <w:r>
              <w:rPr>
                <w:rFonts w:ascii="Calibri" w:hAnsi="Calibri"/>
                <w:b/>
                <w:color w:val="1E293B"/>
                <w:sz w:val="19"/>
              </w:rPr>
              <w:t>cffi</w:t>
            </w:r>
          </w:p>
        </w:tc>
        <w:tc>
          <w:tcPr>
            <w:tcW w:type="dxa" w:w="1296"/>
            <w:tcMar>
              <w:top w:w="90" w:type="dxa"/>
              <w:bottom w:w="90" w:type="dxa"/>
              <w:left w:w="90" w:type="dxa"/>
              <w:right w:w="90" w:type="dxa"/>
            </w:tcMar>
          </w:tcPr>
          <w:p>
            <w:r>
              <w:rPr>
                <w:rFonts w:ascii="Calibri" w:hAnsi="Calibri"/>
                <w:color w:val="64748B"/>
                <w:sz w:val="18"/>
              </w:rPr>
              <w:t>2.1.1</w:t>
            </w:r>
          </w:p>
        </w:tc>
        <w:tc>
          <w:tcPr>
            <w:tcW w:type="dxa" w:w="3024"/>
            <w:tcMar>
              <w:top w:w="90" w:type="dxa"/>
              <w:bottom w:w="90" w:type="dxa"/>
              <w:left w:w="90" w:type="dxa"/>
              <w:right w:w="90" w:type="dxa"/>
            </w:tcMar>
          </w:tcPr>
          <w:p>
            <w:r>
              <w:rPr>
                <w:rFonts w:ascii="Calibri" w:hAnsi="Calibri"/>
                <w:color w:val="1E293B"/>
                <w:sz w:val="18"/>
              </w:rPr>
              <w:t>Foreign Function Interface for Python to call compiled C code directly. Powers the native speed and cryptographic routines of argon2.</w:t>
            </w:r>
          </w:p>
        </w:tc>
        <w:tc>
          <w:tcPr>
            <w:tcW w:type="dxa" w:w="2448"/>
            <w:tcMar>
              <w:top w:w="90" w:type="dxa"/>
              <w:bottom w:w="90" w:type="dxa"/>
              <w:left w:w="90" w:type="dxa"/>
              <w:right w:w="90" w:type="dxa"/>
            </w:tcMar>
          </w:tcPr>
          <w:p>
            <w:r>
              <w:rPr>
                <w:rFonts w:ascii="Calibri" w:hAnsi="Calibri"/>
                <w:color w:val="2563EB"/>
                <w:sz w:val="17"/>
              </w:rPr>
              <w:t>Internal engine for argon2-cffi-bindings and cryptographic operations.</w:t>
            </w:r>
          </w:p>
        </w:tc>
      </w:tr>
      <w:tr>
        <w:tc>
          <w:tcPr>
            <w:tcW w:type="dxa" w:w="2592"/>
            <w:tcMar>
              <w:top w:w="90" w:type="dxa"/>
              <w:bottom w:w="90" w:type="dxa"/>
              <w:left w:w="90" w:type="dxa"/>
              <w:right w:w="90" w:type="dxa"/>
            </w:tcMar>
            <w:shd w:fill="F8FAFC"/>
          </w:tcPr>
          <w:p>
            <w:r>
              <w:rPr>
                <w:rFonts w:ascii="Calibri" w:hAnsi="Calibri"/>
                <w:b/>
                <w:color w:val="1E293B"/>
                <w:sz w:val="19"/>
              </w:rPr>
              <w:t>pycparser</w:t>
            </w:r>
          </w:p>
        </w:tc>
        <w:tc>
          <w:tcPr>
            <w:tcW w:type="dxa" w:w="1296"/>
            <w:tcMar>
              <w:top w:w="90" w:type="dxa"/>
              <w:bottom w:w="90" w:type="dxa"/>
              <w:left w:w="90" w:type="dxa"/>
              <w:right w:w="90" w:type="dxa"/>
            </w:tcMar>
            <w:shd w:fill="F8FAFC"/>
          </w:tcPr>
          <w:p>
            <w:r>
              <w:rPr>
                <w:rFonts w:ascii="Calibri" w:hAnsi="Calibri"/>
                <w:color w:val="64748B"/>
                <w:sz w:val="18"/>
              </w:rPr>
              <w:t>3.0</w:t>
            </w:r>
          </w:p>
        </w:tc>
        <w:tc>
          <w:tcPr>
            <w:tcW w:type="dxa" w:w="3024"/>
            <w:tcMar>
              <w:top w:w="90" w:type="dxa"/>
              <w:bottom w:w="90" w:type="dxa"/>
              <w:left w:w="90" w:type="dxa"/>
              <w:right w:w="90" w:type="dxa"/>
            </w:tcMar>
            <w:shd w:fill="F8FAFC"/>
          </w:tcPr>
          <w:p>
            <w:r>
              <w:rPr>
                <w:rFonts w:ascii="Calibri" w:hAnsi="Calibri"/>
                <w:color w:val="1E293B"/>
                <w:sz w:val="18"/>
              </w:rPr>
              <w:t>Complete C99 parser written in pure Python. Serves as the backbone parser for CFFI to parse C headers and interfaces without external compiler requirements.</w:t>
            </w:r>
          </w:p>
        </w:tc>
        <w:tc>
          <w:tcPr>
            <w:tcW w:type="dxa" w:w="2448"/>
            <w:tcMar>
              <w:top w:w="90" w:type="dxa"/>
              <w:bottom w:w="90" w:type="dxa"/>
              <w:left w:w="90" w:type="dxa"/>
              <w:right w:w="90" w:type="dxa"/>
            </w:tcMar>
            <w:shd w:fill="F8FAFC"/>
          </w:tcPr>
          <w:p>
            <w:r>
              <w:rPr>
                <w:rFonts w:ascii="Calibri" w:hAnsi="Calibri"/>
                <w:color w:val="2563EB"/>
                <w:sz w:val="17"/>
              </w:rPr>
              <w:t>Build and runtime dependency for cffi.</w:t>
            </w:r>
          </w:p>
        </w:tc>
      </w:tr>
      <w:tr>
        <w:tc>
          <w:tcPr>
            <w:tcW w:type="dxa" w:w="2592"/>
            <w:tcMar>
              <w:top w:w="90" w:type="dxa"/>
              <w:bottom w:w="90" w:type="dxa"/>
              <w:left w:w="90" w:type="dxa"/>
              <w:right w:w="90" w:type="dxa"/>
            </w:tcMar>
          </w:tcPr>
          <w:p>
            <w:r>
              <w:rPr>
                <w:rFonts w:ascii="Calibri" w:hAnsi="Calibri"/>
                <w:b/>
                <w:color w:val="1E293B"/>
                <w:sz w:val="19"/>
              </w:rPr>
              <w:t>charset-normalizer</w:t>
            </w:r>
          </w:p>
        </w:tc>
        <w:tc>
          <w:tcPr>
            <w:tcW w:type="dxa" w:w="1296"/>
            <w:tcMar>
              <w:top w:w="90" w:type="dxa"/>
              <w:bottom w:w="90" w:type="dxa"/>
              <w:left w:w="90" w:type="dxa"/>
              <w:right w:w="90" w:type="dxa"/>
            </w:tcMar>
          </w:tcPr>
          <w:p>
            <w:r>
              <w:rPr>
                <w:rFonts w:ascii="Calibri" w:hAnsi="Calibri"/>
                <w:color w:val="64748B"/>
                <w:sz w:val="18"/>
              </w:rPr>
              <w:t>3.5.1</w:t>
            </w:r>
          </w:p>
        </w:tc>
        <w:tc>
          <w:tcPr>
            <w:tcW w:type="dxa" w:w="3024"/>
            <w:tcMar>
              <w:top w:w="90" w:type="dxa"/>
              <w:bottom w:w="90" w:type="dxa"/>
              <w:left w:w="90" w:type="dxa"/>
              <w:right w:w="90" w:type="dxa"/>
            </w:tcMar>
          </w:tcPr>
          <w:p>
            <w:r>
              <w:rPr>
                <w:rFonts w:ascii="Calibri" w:hAnsi="Calibri"/>
                <w:color w:val="1E293B"/>
                <w:sz w:val="18"/>
              </w:rPr>
              <w:t>Encoding and character set detector and normalizer. Ensures international UTF-8 book titles, author names, and imported text are safely parsed without decoding errors.</w:t>
            </w:r>
          </w:p>
        </w:tc>
        <w:tc>
          <w:tcPr>
            <w:tcW w:type="dxa" w:w="2448"/>
            <w:tcMar>
              <w:top w:w="90" w:type="dxa"/>
              <w:bottom w:w="90" w:type="dxa"/>
              <w:left w:w="90" w:type="dxa"/>
              <w:right w:w="90" w:type="dxa"/>
            </w:tcMar>
          </w:tcPr>
          <w:p>
            <w:r>
              <w:rPr>
                <w:rFonts w:ascii="Calibri" w:hAnsi="Calibri"/>
                <w:color w:val="2563EB"/>
                <w:sz w:val="17"/>
              </w:rPr>
              <w:t>catalog data ingestion, file upload decoding, HTTP request payload decoding.</w:t>
            </w:r>
          </w:p>
        </w:tc>
      </w:tr>
      <w:tr>
        <w:tc>
          <w:tcPr>
            <w:tcW w:type="dxa" w:w="2592"/>
            <w:tcMar>
              <w:top w:w="90" w:type="dxa"/>
              <w:bottom w:w="90" w:type="dxa"/>
              <w:left w:w="90" w:type="dxa"/>
              <w:right w:w="90" w:type="dxa"/>
            </w:tcMar>
            <w:shd w:fill="F8FAFC"/>
          </w:tcPr>
          <w:p>
            <w:r>
              <w:rPr>
                <w:rFonts w:ascii="Calibri" w:hAnsi="Calibri"/>
                <w:b/>
                <w:color w:val="1E293B"/>
                <w:sz w:val="19"/>
              </w:rPr>
              <w:t>sqlparse</w:t>
            </w:r>
          </w:p>
        </w:tc>
        <w:tc>
          <w:tcPr>
            <w:tcW w:type="dxa" w:w="1296"/>
            <w:tcMar>
              <w:top w:w="90" w:type="dxa"/>
              <w:bottom w:w="90" w:type="dxa"/>
              <w:left w:w="90" w:type="dxa"/>
              <w:right w:w="90" w:type="dxa"/>
            </w:tcMar>
            <w:shd w:fill="F8FAFC"/>
          </w:tcPr>
          <w:p>
            <w:r>
              <w:rPr>
                <w:rFonts w:ascii="Calibri" w:hAnsi="Calibri"/>
                <w:color w:val="64748B"/>
                <w:sz w:val="18"/>
              </w:rPr>
              <w:t>0.6.0</w:t>
            </w:r>
          </w:p>
        </w:tc>
        <w:tc>
          <w:tcPr>
            <w:tcW w:type="dxa" w:w="3024"/>
            <w:tcMar>
              <w:top w:w="90" w:type="dxa"/>
              <w:bottom w:w="90" w:type="dxa"/>
              <w:left w:w="90" w:type="dxa"/>
              <w:right w:w="90" w:type="dxa"/>
            </w:tcMar>
            <w:shd w:fill="F8FAFC"/>
          </w:tcPr>
          <w:p>
            <w:r>
              <w:rPr>
                <w:rFonts w:ascii="Calibri" w:hAnsi="Calibri"/>
                <w:color w:val="1E293B"/>
                <w:sz w:val="18"/>
              </w:rPr>
              <w:t>Non-validating SQL parser for Python. Powers Django's migration engine, SQL query formatting in debug logs, and query inspection.</w:t>
            </w:r>
          </w:p>
        </w:tc>
        <w:tc>
          <w:tcPr>
            <w:tcW w:type="dxa" w:w="2448"/>
            <w:tcMar>
              <w:top w:w="90" w:type="dxa"/>
              <w:bottom w:w="90" w:type="dxa"/>
              <w:left w:w="90" w:type="dxa"/>
              <w:right w:w="90" w:type="dxa"/>
            </w:tcMar>
            <w:shd w:fill="F8FAFC"/>
          </w:tcPr>
          <w:p>
            <w:r>
              <w:rPr>
                <w:rFonts w:ascii="Calibri" w:hAnsi="Calibri"/>
                <w:color w:val="2563EB"/>
                <w:sz w:val="17"/>
              </w:rPr>
              <w:t>Django ORM migration engine, manage.py migrate, debug query logging.</w:t>
            </w:r>
          </w:p>
        </w:tc>
      </w:tr>
      <w:tr>
        <w:tc>
          <w:tcPr>
            <w:tcW w:type="dxa" w:w="2592"/>
            <w:tcMar>
              <w:top w:w="90" w:type="dxa"/>
              <w:bottom w:w="90" w:type="dxa"/>
              <w:left w:w="90" w:type="dxa"/>
              <w:right w:w="90" w:type="dxa"/>
            </w:tcMar>
          </w:tcPr>
          <w:p>
            <w:r>
              <w:rPr>
                <w:rFonts w:ascii="Calibri" w:hAnsi="Calibri"/>
                <w:b/>
                <w:color w:val="1E293B"/>
                <w:sz w:val="19"/>
              </w:rPr>
              <w:t>tzdata</w:t>
            </w:r>
          </w:p>
        </w:tc>
        <w:tc>
          <w:tcPr>
            <w:tcW w:type="dxa" w:w="1296"/>
            <w:tcMar>
              <w:top w:w="90" w:type="dxa"/>
              <w:bottom w:w="90" w:type="dxa"/>
              <w:left w:w="90" w:type="dxa"/>
              <w:right w:w="90" w:type="dxa"/>
            </w:tcMar>
          </w:tcPr>
          <w:p>
            <w:r>
              <w:rPr>
                <w:rFonts w:ascii="Calibri" w:hAnsi="Calibri"/>
                <w:color w:val="64748B"/>
                <w:sz w:val="18"/>
              </w:rPr>
              <w:t>2026.3</w:t>
            </w:r>
          </w:p>
        </w:tc>
        <w:tc>
          <w:tcPr>
            <w:tcW w:type="dxa" w:w="3024"/>
            <w:tcMar>
              <w:top w:w="90" w:type="dxa"/>
              <w:bottom w:w="90" w:type="dxa"/>
              <w:left w:w="90" w:type="dxa"/>
              <w:right w:w="90" w:type="dxa"/>
            </w:tcMar>
          </w:tcPr>
          <w:p>
            <w:r>
              <w:rPr>
                <w:rFonts w:ascii="Calibri" w:hAnsi="Calibri"/>
                <w:color w:val="1E293B"/>
                <w:sz w:val="18"/>
              </w:rPr>
              <w:t>Official IANA time zone database provider for Python. Critical for accurate due date deadlines, fine time calculations across time zones, and loan timestamp accuracy.</w:t>
            </w:r>
          </w:p>
        </w:tc>
        <w:tc>
          <w:tcPr>
            <w:tcW w:type="dxa" w:w="2448"/>
            <w:tcMar>
              <w:top w:w="90" w:type="dxa"/>
              <w:bottom w:w="90" w:type="dxa"/>
              <w:left w:w="90" w:type="dxa"/>
              <w:right w:w="90" w:type="dxa"/>
            </w:tcMar>
          </w:tcPr>
          <w:p>
            <w:r>
              <w:rPr>
                <w:rFonts w:ascii="Calibri" w:hAnsi="Calibri"/>
                <w:color w:val="2563EB"/>
                <w:sz w:val="17"/>
              </w:rPr>
              <w:t>config/settings.py (TIME_ZONE configuration), circulation/models.py (due dates, return timestamps).</w:t>
            </w:r>
          </w:p>
        </w:tc>
      </w:tr>
      <w:tr>
        <w:tc>
          <w:tcPr>
            <w:tcW w:type="dxa" w:w="2592"/>
            <w:tcMar>
              <w:top w:w="90" w:type="dxa"/>
              <w:bottom w:w="90" w:type="dxa"/>
              <w:left w:w="90" w:type="dxa"/>
              <w:right w:w="90" w:type="dxa"/>
            </w:tcMar>
            <w:shd w:fill="F8FAFC"/>
          </w:tcPr>
          <w:p>
            <w:r>
              <w:rPr>
                <w:rFonts w:ascii="Calibri" w:hAnsi="Calibri"/>
                <w:b/>
                <w:color w:val="1E293B"/>
                <w:sz w:val="19"/>
              </w:rPr>
              <w:t>pytest &amp; pytest-django</w:t>
            </w:r>
          </w:p>
        </w:tc>
        <w:tc>
          <w:tcPr>
            <w:tcW w:type="dxa" w:w="1296"/>
            <w:tcMar>
              <w:top w:w="90" w:type="dxa"/>
              <w:bottom w:w="90" w:type="dxa"/>
              <w:left w:w="90" w:type="dxa"/>
              <w:right w:w="90" w:type="dxa"/>
            </w:tcMar>
            <w:shd w:fill="F8FAFC"/>
          </w:tcPr>
          <w:p>
            <w:r>
              <w:rPr>
                <w:rFonts w:ascii="Calibri" w:hAnsi="Calibri"/>
                <w:color w:val="64748B"/>
                <w:sz w:val="18"/>
              </w:rPr>
              <w:t>9.1.1 /</w:t>
              <w:br/>
              <w:t>4.14.0</w:t>
            </w:r>
          </w:p>
        </w:tc>
        <w:tc>
          <w:tcPr>
            <w:tcW w:type="dxa" w:w="3024"/>
            <w:tcMar>
              <w:top w:w="90" w:type="dxa"/>
              <w:bottom w:w="90" w:type="dxa"/>
              <w:left w:w="90" w:type="dxa"/>
              <w:right w:w="90" w:type="dxa"/>
            </w:tcMar>
            <w:shd w:fill="F8FAFC"/>
          </w:tcPr>
          <w:p>
            <w:r>
              <w:rPr>
                <w:rFonts w:ascii="Calibri" w:hAnsi="Calibri"/>
                <w:color w:val="1E293B"/>
                <w:sz w:val="18"/>
              </w:rPr>
              <w:t>Modern testing harness designed for test-driven development. Provides database fixtures, client simulation, and test runners for catalog validation, loan limits, and security.</w:t>
            </w:r>
          </w:p>
        </w:tc>
        <w:tc>
          <w:tcPr>
            <w:tcW w:type="dxa" w:w="2448"/>
            <w:tcMar>
              <w:top w:w="90" w:type="dxa"/>
              <w:bottom w:w="90" w:type="dxa"/>
              <w:left w:w="90" w:type="dxa"/>
              <w:right w:w="90" w:type="dxa"/>
            </w:tcMar>
            <w:shd w:fill="F8FAFC"/>
          </w:tcPr>
          <w:p>
            <w:r>
              <w:rPr>
                <w:rFonts w:ascii="Calibri" w:hAnsi="Calibri"/>
                <w:color w:val="2563EB"/>
                <w:sz w:val="17"/>
              </w:rPr>
              <w:t>pytest.ini, catalog/tests/, circulation/tests/, accounts/tests/.</w:t>
            </w:r>
          </w:p>
        </w:tc>
      </w:tr>
      <w:tr>
        <w:tc>
          <w:tcPr>
            <w:tcW w:type="dxa" w:w="2592"/>
            <w:tcMar>
              <w:top w:w="90" w:type="dxa"/>
              <w:bottom w:w="90" w:type="dxa"/>
              <w:left w:w="90" w:type="dxa"/>
              <w:right w:w="90" w:type="dxa"/>
            </w:tcMar>
          </w:tcPr>
          <w:p>
            <w:r>
              <w:rPr>
                <w:rFonts w:ascii="Calibri" w:hAnsi="Calibri"/>
                <w:b/>
                <w:color w:val="1E293B"/>
                <w:sz w:val="19"/>
              </w:rPr>
              <w:t>python-docx</w:t>
            </w:r>
          </w:p>
        </w:tc>
        <w:tc>
          <w:tcPr>
            <w:tcW w:type="dxa" w:w="1296"/>
            <w:tcMar>
              <w:top w:w="90" w:type="dxa"/>
              <w:bottom w:w="90" w:type="dxa"/>
              <w:left w:w="90" w:type="dxa"/>
              <w:right w:w="90" w:type="dxa"/>
            </w:tcMar>
          </w:tcPr>
          <w:p>
            <w:r>
              <w:rPr>
                <w:rFonts w:ascii="Calibri" w:hAnsi="Calibri"/>
                <w:color w:val="64748B"/>
                <w:sz w:val="18"/>
              </w:rPr>
              <w:t>1.2.0</w:t>
            </w:r>
          </w:p>
        </w:tc>
        <w:tc>
          <w:tcPr>
            <w:tcW w:type="dxa" w:w="3024"/>
            <w:tcMar>
              <w:top w:w="90" w:type="dxa"/>
              <w:bottom w:w="90" w:type="dxa"/>
              <w:left w:w="90" w:type="dxa"/>
              <w:right w:w="90" w:type="dxa"/>
            </w:tcMar>
          </w:tcPr>
          <w:p>
            <w:r>
              <w:rPr>
                <w:rFonts w:ascii="Calibri" w:hAnsi="Calibri"/>
                <w:color w:val="1E293B"/>
                <w:sz w:val="18"/>
              </w:rPr>
              <w:t>Advanced programmatic Microsoft Word (.docx) generation library. Enables automated creation of formatted technical manuals, audit documentation, and executive exports.</w:t>
            </w:r>
          </w:p>
        </w:tc>
        <w:tc>
          <w:tcPr>
            <w:tcW w:type="dxa" w:w="2448"/>
            <w:tcMar>
              <w:top w:w="90" w:type="dxa"/>
              <w:bottom w:w="90" w:type="dxa"/>
              <w:left w:w="90" w:type="dxa"/>
              <w:right w:w="90" w:type="dxa"/>
            </w:tcMar>
          </w:tcPr>
          <w:p>
            <w:r>
              <w:rPr>
                <w:rFonts w:ascii="Calibri" w:hAnsi="Calibri"/>
                <w:color w:val="2563EB"/>
                <w:sz w:val="17"/>
              </w:rPr>
              <w:t>Project documentation generators, administrative export utilities.</w:t>
            </w:r>
          </w:p>
        </w:tc>
      </w:tr>
    </w:tbl>
    <w:p>
      <w:pPr>
        <w:spacing w:after="240"/>
      </w:pPr>
    </w:p>
    <w:p>
      <w:pPr>
        <w:keepNext/>
        <w:spacing w:before="360" w:after="120"/>
      </w:pPr>
      <w:r>
        <w:rPr>
          <w:rFonts w:ascii="Calibri" w:hAnsi="Calibri"/>
          <w:b/>
          <w:color w:val="1E3A8A"/>
          <w:sz w:val="32"/>
        </w:rPr>
        <w:t>4. Architectural Blueprint &amp; App-by-App Implementation</w:t>
      </w:r>
    </w:p>
    <w:p>
      <w:pPr>
        <w:spacing w:before="0" w:after="120" w:line="276" w:lineRule="auto"/>
      </w:pPr>
      <w:r>
        <w:rPr>
          <w:rFonts w:ascii="Calibri" w:hAnsi="Calibri"/>
          <w:color w:val="1E293B"/>
          <w:sz w:val="21"/>
        </w:rPr>
        <w:t>Athenaeum is structured as a clean, loosely-coupled Django project. Each application encapsulates a single business domain, communicating across well-defined ORM relationships and service methods.</w:t>
      </w:r>
    </w:p>
    <w:p>
      <w:pPr>
        <w:keepNext/>
        <w:spacing w:before="240" w:after="80"/>
      </w:pPr>
      <w:r>
        <w:rPr>
          <w:rFonts w:ascii="Calibri" w:hAnsi="Calibri"/>
          <w:b/>
          <w:color w:val="2563EB"/>
          <w:sz w:val="26"/>
        </w:rPr>
        <w:t>A. accounts Application (Identity, Security &amp; Role-Based Access)</w:t>
      </w:r>
    </w:p>
    <w:p>
      <w:pPr>
        <w:pStyle w:val="ListBullet"/>
        <w:spacing w:before="0" w:after="60" w:line="276" w:lineRule="auto"/>
      </w:pPr>
      <w:r>
        <w:rPr>
          <w:rFonts w:ascii="Calibri" w:hAnsi="Calibri"/>
          <w:b/>
          <w:color w:val="1E293B"/>
          <w:sz w:val="21"/>
        </w:rPr>
        <w:t xml:space="preserve">Purpose &amp; Scope: </w:t>
      </w:r>
      <w:r>
        <w:rPr>
          <w:rFonts w:ascii="Calibri" w:hAnsi="Calibri"/>
          <w:color w:val="1E293B"/>
          <w:sz w:val="21"/>
        </w:rPr>
        <w:t>Manages user registration, authentication, role assignment, patron profiles, and credential security.</w:t>
      </w:r>
    </w:p>
    <w:p>
      <w:pPr>
        <w:pStyle w:val="ListBullet"/>
        <w:spacing w:before="0" w:after="60" w:line="276" w:lineRule="auto"/>
      </w:pPr>
      <w:r>
        <w:rPr>
          <w:rFonts w:ascii="Calibri" w:hAnsi="Calibri"/>
          <w:b/>
          <w:color w:val="1E293B"/>
          <w:sz w:val="21"/>
        </w:rPr>
        <w:t xml:space="preserve">Custom User Model (accounts/models.py): </w:t>
      </w:r>
      <w:r>
        <w:rPr>
          <w:rFonts w:ascii="Calibri" w:hAnsi="Calibri"/>
          <w:color w:val="1E293B"/>
          <w:sz w:val="21"/>
        </w:rPr>
        <w:t>Extends AbstractUser to support four distinct roles: Administrator, Librarian, Member (Patron), and Staff. Includes library card number generator, phone number, address, membership status (Active, Suspended, Expired), and avatar uploads.</w:t>
      </w:r>
    </w:p>
    <w:p>
      <w:pPr>
        <w:pStyle w:val="ListBullet"/>
        <w:spacing w:before="0" w:after="60" w:line="276" w:lineRule="auto"/>
      </w:pPr>
      <w:r>
        <w:rPr>
          <w:rFonts w:ascii="Calibri" w:hAnsi="Calibri"/>
          <w:b/>
          <w:color w:val="1E293B"/>
          <w:sz w:val="21"/>
        </w:rPr>
        <w:t xml:space="preserve">Hardened Security (accounts/forms.py &amp; views.py): </w:t>
      </w:r>
      <w:r>
        <w:rPr>
          <w:rFonts w:ascii="Calibri" w:hAnsi="Calibri"/>
          <w:color w:val="1E293B"/>
          <w:sz w:val="21"/>
        </w:rPr>
        <w:t>Integrates django-ratelimit on login views to repel credential-guessing attacks. Passwords are saved with Argon2 hashing. Custom profile update forms, password reset workflows, and a dedicated security control center (templates/pages/security.html) allow users to monitor active sessions and update authentication credentials safely.</w:t>
      </w:r>
    </w:p>
    <w:p>
      <w:pPr>
        <w:keepNext/>
        <w:spacing w:before="240" w:after="80"/>
      </w:pPr>
      <w:r>
        <w:rPr>
          <w:rFonts w:ascii="Calibri" w:hAnsi="Calibri"/>
          <w:b/>
          <w:color w:val="2563EB"/>
          <w:sz w:val="26"/>
        </w:rPr>
        <w:t>B. catalog Application (Books, Authors, Genres &amp; Mathematical Validation)</w:t>
      </w:r>
    </w:p>
    <w:p>
      <w:pPr>
        <w:pStyle w:val="ListBullet"/>
        <w:spacing w:before="0" w:after="60" w:line="276" w:lineRule="auto"/>
      </w:pPr>
      <w:r>
        <w:rPr>
          <w:rFonts w:ascii="Calibri" w:hAnsi="Calibri"/>
          <w:b/>
          <w:color w:val="1E293B"/>
          <w:sz w:val="21"/>
        </w:rPr>
        <w:t xml:space="preserve">Purpose &amp; Scope: </w:t>
      </w:r>
      <w:r>
        <w:rPr>
          <w:rFonts w:ascii="Calibri" w:hAnsi="Calibri"/>
          <w:color w:val="1E293B"/>
          <w:sz w:val="21"/>
        </w:rPr>
        <w:t>Stores and organizes all library holdings, metadata, book copies, and enforces strict data integrity.</w:t>
      </w:r>
    </w:p>
    <w:p>
      <w:pPr>
        <w:pStyle w:val="ListBullet"/>
        <w:spacing w:before="0" w:after="60" w:line="276" w:lineRule="auto"/>
      </w:pPr>
      <w:r>
        <w:rPr>
          <w:rFonts w:ascii="Calibri" w:hAnsi="Calibri"/>
          <w:b/>
          <w:color w:val="1E293B"/>
          <w:sz w:val="21"/>
        </w:rPr>
        <w:t xml:space="preserve">Mathematical ISBN Validator (catalog/validators.py): </w:t>
      </w:r>
      <w:r>
        <w:rPr>
          <w:rFonts w:ascii="Calibri" w:hAnsi="Calibri"/>
          <w:color w:val="1E293B"/>
          <w:sz w:val="21"/>
        </w:rPr>
        <w:t>Features an isolated, production-grade validation module that supports both ISBN-10 and ISBN-13 standards. The bare_isbn() utility strips formatting hyphens and whitespace. ISBN-10 implements modulo 11 weighted checksum verification (allowing 'X' as check digit 10), while ISBN-13 implements modulo 10 alternating 1/3 weighted verification. Living in validators.py ensures Django migrations maintain permanent import stability.</w:t>
      </w:r>
    </w:p>
    <w:p>
      <w:pPr>
        <w:pStyle w:val="ListBullet"/>
        <w:spacing w:before="0" w:after="60" w:line="276" w:lineRule="auto"/>
      </w:pPr>
      <w:r>
        <w:rPr>
          <w:rFonts w:ascii="Calibri" w:hAnsi="Calibri"/>
          <w:b/>
          <w:color w:val="1E293B"/>
          <w:sz w:val="21"/>
        </w:rPr>
        <w:t xml:space="preserve">Data Models (catalog/models.py): </w:t>
      </w:r>
      <w:r>
        <w:rPr>
          <w:rFonts w:ascii="Calibri" w:hAnsi="Calibri"/>
          <w:color w:val="1E293B"/>
          <w:sz w:val="21"/>
        </w:rPr>
        <w:t>Includes Book (title, ISBN, summary, publication date, cover image, category), Author (first name, last name, biography, nationality), Genre/Category (name, description), and BookCopy (physical barcode, acquisition date, condition, and status: Available, On Loan, Reserved, Maintenance).</w:t>
      </w:r>
    </w:p>
    <w:p>
      <w:pPr>
        <w:pStyle w:val="ListBullet"/>
        <w:spacing w:before="0" w:after="60" w:line="276" w:lineRule="auto"/>
      </w:pPr>
      <w:r>
        <w:rPr>
          <w:rFonts w:ascii="Calibri" w:hAnsi="Calibri"/>
          <w:b/>
          <w:color w:val="1E293B"/>
          <w:sz w:val="21"/>
        </w:rPr>
        <w:t xml:space="preserve">Search &amp; Discovery (catalog/views.py): </w:t>
      </w:r>
      <w:r>
        <w:rPr>
          <w:rFonts w:ascii="Calibri" w:hAnsi="Calibri"/>
          <w:color w:val="1E293B"/>
          <w:sz w:val="21"/>
        </w:rPr>
        <w:t>Full-text search allowing patrons and librarians to query across title, author, genre, or ISBN simultaneously. Includes faceted filtering, pagination, and detailed book preview pages.</w:t>
      </w:r>
    </w:p>
    <w:p>
      <w:pPr>
        <w:keepNext/>
        <w:spacing w:before="240" w:after="80"/>
      </w:pPr>
      <w:r>
        <w:rPr>
          <w:rFonts w:ascii="Calibri" w:hAnsi="Calibri"/>
          <w:b/>
          <w:color w:val="2563EB"/>
          <w:sz w:val="26"/>
        </w:rPr>
        <w:t>C. circulation Application (Loans, Renewals, Overdues &amp; Fines)</w:t>
      </w:r>
    </w:p>
    <w:p>
      <w:pPr>
        <w:pStyle w:val="ListBullet"/>
        <w:spacing w:before="0" w:after="60" w:line="276" w:lineRule="auto"/>
      </w:pPr>
      <w:r>
        <w:rPr>
          <w:rFonts w:ascii="Calibri" w:hAnsi="Calibri"/>
          <w:b/>
          <w:color w:val="1E293B"/>
          <w:sz w:val="21"/>
        </w:rPr>
        <w:t xml:space="preserve">Purpose &amp; Scope: </w:t>
      </w:r>
      <w:r>
        <w:rPr>
          <w:rFonts w:ascii="Calibri" w:hAnsi="Calibri"/>
          <w:color w:val="1E293B"/>
          <w:sz w:val="21"/>
        </w:rPr>
        <w:t>Handles physical item transactions, policy rules, due date tracking, automated fine assessments, and book reservations.</w:t>
      </w:r>
    </w:p>
    <w:p>
      <w:pPr>
        <w:pStyle w:val="ListBullet"/>
        <w:spacing w:before="0" w:after="60" w:line="276" w:lineRule="auto"/>
      </w:pPr>
      <w:r>
        <w:rPr>
          <w:rFonts w:ascii="Calibri" w:hAnsi="Calibri"/>
          <w:b/>
          <w:color w:val="1E293B"/>
          <w:sz w:val="21"/>
        </w:rPr>
        <w:t xml:space="preserve">BorrowRecord &amp; Loan Lifecycle (circulation/models.py): </w:t>
      </w:r>
      <w:r>
        <w:rPr>
          <w:rFonts w:ascii="Calibri" w:hAnsi="Calibri"/>
          <w:color w:val="1E293B"/>
          <w:sz w:val="21"/>
        </w:rPr>
        <w:t>Tracks member, book copy, borrow date, expected due date, actual return date, renewal count, and status. Enforces a maximum concurrent borrow limit per patron and maximum allowable renewals before physical inspection.</w:t>
      </w:r>
    </w:p>
    <w:p>
      <w:pPr>
        <w:pStyle w:val="ListBullet"/>
        <w:spacing w:before="0" w:after="60" w:line="276" w:lineRule="auto"/>
      </w:pPr>
      <w:r>
        <w:rPr>
          <w:rFonts w:ascii="Calibri" w:hAnsi="Calibri"/>
          <w:b/>
          <w:color w:val="1E293B"/>
          <w:sz w:val="21"/>
        </w:rPr>
        <w:t xml:space="preserve">Fine Calculation &amp; Ledger: </w:t>
      </w:r>
      <w:r>
        <w:rPr>
          <w:rFonts w:ascii="Calibri" w:hAnsi="Calibri"/>
          <w:color w:val="1E293B"/>
          <w:sz w:val="21"/>
        </w:rPr>
        <w:t>Calculates fines automatically when items are returned past their due date. Tracks total accrued balance, payment receipts, and allows librarians to waive or collect payments with immutable transaction logging.</w:t>
      </w:r>
    </w:p>
    <w:p>
      <w:pPr>
        <w:pStyle w:val="ListBullet"/>
        <w:spacing w:before="0" w:after="60" w:line="276" w:lineRule="auto"/>
      </w:pPr>
      <w:r>
        <w:rPr>
          <w:rFonts w:ascii="Calibri" w:hAnsi="Calibri"/>
          <w:b/>
          <w:color w:val="1E293B"/>
          <w:sz w:val="21"/>
        </w:rPr>
        <w:t xml:space="preserve">Reservation System: </w:t>
      </w:r>
      <w:r>
        <w:rPr>
          <w:rFonts w:ascii="Calibri" w:hAnsi="Calibri"/>
          <w:color w:val="1E293B"/>
          <w:sz w:val="21"/>
        </w:rPr>
        <w:t>Enables patrons to place holds on books currently checked out. Automatically notifies the queue when a copy is checked back in.</w:t>
      </w:r>
    </w:p>
    <w:p>
      <w:pPr>
        <w:keepNext/>
        <w:spacing w:before="240" w:after="80"/>
      </w:pPr>
      <w:r>
        <w:rPr>
          <w:rFonts w:ascii="Calibri" w:hAnsi="Calibri"/>
          <w:b/>
          <w:color w:val="2563EB"/>
          <w:sz w:val="26"/>
        </w:rPr>
        <w:t>D. dashboard Application (Analytics, Reporting &amp; Quick Actions)</w:t>
      </w:r>
    </w:p>
    <w:p>
      <w:pPr>
        <w:pStyle w:val="ListBullet"/>
        <w:spacing w:before="0" w:after="60" w:line="276" w:lineRule="auto"/>
      </w:pPr>
      <w:r>
        <w:rPr>
          <w:rFonts w:ascii="Calibri" w:hAnsi="Calibri"/>
          <w:b/>
          <w:color w:val="1E293B"/>
          <w:sz w:val="21"/>
        </w:rPr>
        <w:t xml:space="preserve">Purpose &amp; Scope: </w:t>
      </w:r>
      <w:r>
        <w:rPr>
          <w:rFonts w:ascii="Calibri" w:hAnsi="Calibri"/>
          <w:color w:val="1E293B"/>
          <w:sz w:val="21"/>
        </w:rPr>
        <w:t>Provides high-level operational intelligence and personalized landing experiences for administrators, staff, and members.</w:t>
      </w:r>
    </w:p>
    <w:p>
      <w:pPr>
        <w:pStyle w:val="ListBullet"/>
        <w:spacing w:before="0" w:after="60" w:line="276" w:lineRule="auto"/>
      </w:pPr>
      <w:r>
        <w:rPr>
          <w:rFonts w:ascii="Calibri" w:hAnsi="Calibri"/>
          <w:b/>
          <w:color w:val="1E293B"/>
          <w:sz w:val="21"/>
        </w:rPr>
        <w:t xml:space="preserve">Analytics Engine (dashboard/views.py): </w:t>
      </w:r>
      <w:r>
        <w:rPr>
          <w:rFonts w:ascii="Calibri" w:hAnsi="Calibri"/>
          <w:color w:val="1E293B"/>
          <w:sz w:val="21"/>
        </w:rPr>
        <w:t>Calculates live key performance indicators (KPIs): Total Books, Active Loans, Overdue Items, Active Patrons, and Outstanding Fines. Aggregates borrowing trends by genre and popular titles to guide collection development.</w:t>
      </w:r>
    </w:p>
    <w:p>
      <w:pPr>
        <w:pStyle w:val="ListBullet"/>
        <w:spacing w:before="0" w:after="60" w:line="276" w:lineRule="auto"/>
      </w:pPr>
      <w:r>
        <w:rPr>
          <w:rFonts w:ascii="Calibri" w:hAnsi="Calibri"/>
          <w:b/>
          <w:color w:val="1E293B"/>
          <w:sz w:val="21"/>
        </w:rPr>
        <w:t xml:space="preserve">Role-Aware Experience: </w:t>
      </w:r>
      <w:r>
        <w:rPr>
          <w:rFonts w:ascii="Calibri" w:hAnsi="Calibri"/>
          <w:color w:val="1E293B"/>
          <w:sz w:val="21"/>
        </w:rPr>
        <w:t>Admins and Librarians see circulation desk actions (quick checkout/return scanner, pending fines, overdue list), while Members see their personal active loans, countdown to due dates, reading history, and reserved titles.</w:t>
      </w:r>
    </w:p>
    <w:p>
      <w:pPr>
        <w:keepNext/>
        <w:spacing w:before="240" w:after="80"/>
      </w:pPr>
      <w:r>
        <w:rPr>
          <w:rFonts w:ascii="Calibri" w:hAnsi="Calibri"/>
          <w:b/>
          <w:color w:val="2563EB"/>
          <w:sz w:val="26"/>
        </w:rPr>
        <w:t>E. config Application &amp; Global Settings</w:t>
      </w:r>
    </w:p>
    <w:p>
      <w:pPr>
        <w:pStyle w:val="ListBullet"/>
        <w:spacing w:before="0" w:after="60" w:line="276" w:lineRule="auto"/>
      </w:pPr>
      <w:r>
        <w:rPr>
          <w:rFonts w:ascii="Calibri" w:hAnsi="Calibri"/>
          <w:b/>
          <w:color w:val="1E293B"/>
          <w:sz w:val="21"/>
        </w:rPr>
        <w:t xml:space="preserve">Decoupled Environment (config/settings.py): </w:t>
      </w:r>
      <w:r>
        <w:rPr>
          <w:rFonts w:ascii="Calibri" w:hAnsi="Calibri"/>
          <w:color w:val="1E293B"/>
          <w:sz w:val="21"/>
        </w:rPr>
        <w:t>Environment variables managed through python-decouple via .env. Separates development from production settings.</w:t>
      </w:r>
    </w:p>
    <w:p>
      <w:pPr>
        <w:pStyle w:val="ListBullet"/>
        <w:spacing w:before="0" w:after="60" w:line="276" w:lineRule="auto"/>
      </w:pPr>
      <w:r>
        <w:rPr>
          <w:rFonts w:ascii="Calibri" w:hAnsi="Calibri"/>
          <w:b/>
          <w:color w:val="1E293B"/>
          <w:sz w:val="21"/>
        </w:rPr>
        <w:t xml:space="preserve">Security Posture: </w:t>
      </w:r>
      <w:r>
        <w:rPr>
          <w:rFonts w:ascii="Calibri" w:hAnsi="Calibri"/>
          <w:color w:val="1E293B"/>
          <w:sz w:val="21"/>
        </w:rPr>
        <w:t>Configured with Argon2 password hasher priority, secure session cookies, CSRF protection, clickjacking protection (X-Frame-Options), and static/media file asset pipelines.</w:t>
      </w:r>
    </w:p>
    <w:p>
      <w:pPr>
        <w:spacing w:after="240"/>
      </w:pPr>
    </w:p>
    <w:p>
      <w:pPr>
        <w:keepNext/>
        <w:spacing w:before="360" w:after="120"/>
      </w:pPr>
      <w:r>
        <w:rPr>
          <w:rFonts w:ascii="Calibri" w:hAnsi="Calibri"/>
          <w:b/>
          <w:color w:val="1E3A8A"/>
          <w:sz w:val="32"/>
        </w:rPr>
        <w:t>5. UI Architecture &amp; Design Philosophy</w:t>
      </w:r>
    </w:p>
    <w:p>
      <w:pPr>
        <w:spacing w:before="0" w:after="120" w:line="276" w:lineRule="auto"/>
      </w:pPr>
      <w:r>
        <w:rPr>
          <w:rFonts w:ascii="Calibri" w:hAnsi="Calibri"/>
          <w:color w:val="1E293B"/>
          <w:sz w:val="21"/>
        </w:rPr>
        <w:t>Athenaeum features a clean, responsive web interface built with modern semantic HTML5 and vanilla CSS. The interface incorporates glassmorphism, curated HSL color schemes, accessible contrast ratios, and intuitive micro-interactions.</w:t>
      </w:r>
    </w:p>
    <w:p>
      <w:pPr>
        <w:pStyle w:val="ListBullet"/>
        <w:spacing w:before="0" w:after="60" w:line="276" w:lineRule="auto"/>
      </w:pPr>
      <w:r>
        <w:rPr>
          <w:rFonts w:ascii="Calibri" w:hAnsi="Calibri"/>
          <w:b/>
          <w:color w:val="1E293B"/>
          <w:sz w:val="21"/>
        </w:rPr>
        <w:t xml:space="preserve">Modern Layouts &amp; Responsive Navigation: </w:t>
      </w:r>
      <w:r>
        <w:rPr>
          <w:rFonts w:ascii="Calibri" w:hAnsi="Calibri"/>
          <w:color w:val="1E293B"/>
          <w:sz w:val="21"/>
        </w:rPr>
        <w:t>Fully responsive sidebar and navigation bar that seamlessly scales across desktop monitors, tablets, and mobile devices.</w:t>
      </w:r>
    </w:p>
    <w:p>
      <w:pPr>
        <w:pStyle w:val="ListBullet"/>
        <w:spacing w:before="0" w:after="60" w:line="276" w:lineRule="auto"/>
      </w:pPr>
      <w:r>
        <w:rPr>
          <w:rFonts w:ascii="Calibri" w:hAnsi="Calibri"/>
          <w:b/>
          <w:color w:val="1E293B"/>
          <w:sz w:val="21"/>
        </w:rPr>
        <w:t xml:space="preserve">Visual Status Indicators: </w:t>
      </w:r>
      <w:r>
        <w:rPr>
          <w:rFonts w:ascii="Calibri" w:hAnsi="Calibri"/>
          <w:color w:val="1E293B"/>
          <w:sz w:val="21"/>
        </w:rPr>
        <w:t>Color-coded badges for loan statuses (Green: Available, Blue: On Loan, Yellow: Reserved, Red: Overdue/Lost) providing instant cognitive clarity at the circulation desk.</w:t>
      </w:r>
    </w:p>
    <w:p>
      <w:pPr>
        <w:pStyle w:val="ListBullet"/>
        <w:spacing w:before="0" w:after="60" w:line="276" w:lineRule="auto"/>
      </w:pPr>
      <w:r>
        <w:rPr>
          <w:rFonts w:ascii="Calibri" w:hAnsi="Calibri"/>
          <w:b/>
          <w:color w:val="1E293B"/>
          <w:sz w:val="21"/>
        </w:rPr>
        <w:t xml:space="preserve">Institutional Pages: </w:t>
      </w:r>
      <w:r>
        <w:rPr>
          <w:rFonts w:ascii="Calibri" w:hAnsi="Calibri"/>
          <w:color w:val="1E293B"/>
          <w:sz w:val="21"/>
        </w:rPr>
        <w:t>Includes professional public-facing views including Home (home.html), Security Center (security.html), Privacy Policy (privacy.html), and Terms of Service (terms.html).</w:t>
      </w:r>
    </w:p>
    <w:p>
      <w:pPr>
        <w:keepNext/>
        <w:spacing w:before="360" w:after="120"/>
      </w:pPr>
      <w:r>
        <w:rPr>
          <w:rFonts w:ascii="Calibri" w:hAnsi="Calibri"/>
          <w:b/>
          <w:color w:val="1E3A8A"/>
          <w:sz w:val="32"/>
        </w:rPr>
        <w:t>6. Quality Assurance, Testing &amp; Validation</w:t>
      </w:r>
    </w:p>
    <w:p>
      <w:pPr>
        <w:spacing w:before="0" w:after="120" w:line="276" w:lineRule="auto"/>
      </w:pPr>
      <w:r>
        <w:rPr>
          <w:rFonts w:ascii="Calibri" w:hAnsi="Calibri"/>
          <w:color w:val="1E293B"/>
          <w:sz w:val="21"/>
        </w:rPr>
        <w:t>The project incorporates automated test coverage using Pytest and pytest-django to guarantee architectural integrity:</w:t>
      </w:r>
    </w:p>
    <w:p>
      <w:pPr>
        <w:pStyle w:val="ListBullet"/>
        <w:spacing w:before="0" w:after="60" w:line="276" w:lineRule="auto"/>
      </w:pPr>
      <w:r>
        <w:rPr>
          <w:rFonts w:ascii="Calibri" w:hAnsi="Calibri"/>
          <w:b/>
          <w:color w:val="1E293B"/>
          <w:sz w:val="21"/>
        </w:rPr>
        <w:t xml:space="preserve">ISBN Validation Suite: </w:t>
      </w:r>
      <w:r>
        <w:rPr>
          <w:rFonts w:ascii="Calibri" w:hAnsi="Calibri"/>
          <w:color w:val="1E293B"/>
          <w:sz w:val="21"/>
        </w:rPr>
        <w:t>Thorough unit tests exercising valid and invalid ISBN-10 (including 'X' check digit tests) and ISBN-13 strings, verifying that transposition errors and invalid checksums are rejected before reaching the database.</w:t>
      </w:r>
    </w:p>
    <w:p>
      <w:pPr>
        <w:pStyle w:val="ListBullet"/>
        <w:spacing w:before="0" w:after="60" w:line="276" w:lineRule="auto"/>
      </w:pPr>
      <w:r>
        <w:rPr>
          <w:rFonts w:ascii="Calibri" w:hAnsi="Calibri"/>
          <w:b/>
          <w:color w:val="1E293B"/>
          <w:sz w:val="21"/>
        </w:rPr>
        <w:t xml:space="preserve">Circulation Constraints: </w:t>
      </w:r>
      <w:r>
        <w:rPr>
          <w:rFonts w:ascii="Calibri" w:hAnsi="Calibri"/>
          <w:color w:val="1E293B"/>
          <w:sz w:val="21"/>
        </w:rPr>
        <w:t>Tests verifying that borrow limits cannot be exceeded, already loaned copies cannot be re-issued, and renewals are rejected once maximum renewal thresholds are met.</w:t>
      </w:r>
    </w:p>
    <w:p>
      <w:pPr>
        <w:pStyle w:val="ListBullet"/>
        <w:spacing w:before="0" w:after="60" w:line="276" w:lineRule="auto"/>
      </w:pPr>
      <w:r>
        <w:rPr>
          <w:rFonts w:ascii="Calibri" w:hAnsi="Calibri"/>
          <w:b/>
          <w:color w:val="1E293B"/>
          <w:sz w:val="21"/>
        </w:rPr>
        <w:t xml:space="preserve">Authentication &amp; Permissions: </w:t>
      </w:r>
      <w:r>
        <w:rPr>
          <w:rFonts w:ascii="Calibri" w:hAnsi="Calibri"/>
          <w:color w:val="1E293B"/>
          <w:sz w:val="21"/>
        </w:rPr>
        <w:t>Verifies that unauthenticated or standard member accounts cannot access circulation desk functions or administrative dashboards.</w:t>
      </w:r>
    </w:p>
    <w:p>
      <w:pPr>
        <w:keepNext/>
        <w:spacing w:before="360" w:after="120"/>
      </w:pPr>
      <w:r>
        <w:rPr>
          <w:rFonts w:ascii="Calibri" w:hAnsi="Calibri"/>
          <w:b/>
          <w:color w:val="1E3A8A"/>
          <w:sz w:val="32"/>
        </w:rPr>
        <w:t>7. Summary &amp; Future Roadmap</w:t>
      </w:r>
    </w:p>
    <w:p>
      <w:pPr>
        <w:spacing w:before="0" w:after="120" w:line="276" w:lineRule="auto"/>
      </w:pPr>
      <w:r>
        <w:rPr>
          <w:rFonts w:ascii="Calibri" w:hAnsi="Calibri"/>
          <w:color w:val="1E293B"/>
          <w:sz w:val="21"/>
        </w:rPr>
        <w:t>Athenaeum-Ikedi successfully fulfills the objective of replacing vulnerable, manual, or fragmented library workflows with a secure, robust, and delightful web platform. Its combination of cryptographic password protection, mathematical ISBN integrity, automated fine management, and high-performance reporting provides a comprehensive solution ready for institutional deployment.</w:t>
      </w:r>
    </w:p>
    <w:p>
      <w:pPr>
        <w:pStyle w:val="ListBullet"/>
        <w:spacing w:before="0" w:after="60" w:line="276" w:lineRule="auto"/>
      </w:pPr>
      <w:r>
        <w:rPr>
          <w:rFonts w:ascii="Calibri" w:hAnsi="Calibri"/>
          <w:b/>
          <w:color w:val="1E293B"/>
          <w:sz w:val="21"/>
        </w:rPr>
        <w:t xml:space="preserve">Future Enhancements: </w:t>
      </w:r>
      <w:r>
        <w:rPr>
          <w:rFonts w:ascii="Calibri" w:hAnsi="Calibri"/>
          <w:color w:val="1E293B"/>
          <w:sz w:val="21"/>
        </w:rPr>
        <w:t>Upcoming milestones include Barcode/RFID hardware scanner integration via WebUSB/WebHID, email/SMS due date notifications using Celery background workers, and digital e-book / PDF lending through secure in-browser viewers.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