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10370"/>
      </w:tblGrid>
      <w:tr>
        <w:tc>
          <w:tcPr>
            <w:tcW w:type="dxa" w:w="9922"/>
            <w:shd w:fill="111722"/>
            <w:tcMar>
              <w:top w:w="520" w:type="dxa"/>
              <w:start w:w="430" w:type="dxa"/>
              <w:bottom w:w="520" w:type="dxa"/>
              <w:end w:w="430" w:type="dxa"/>
            </w:tcMar>
          </w:tcPr>
          <w:p>
            <w:pPr>
              <w:spacing w:after="400"/>
            </w:pPr>
            <w:r/>
            <w:r>
              <w:rPr>
                <w:rFonts w:ascii="Aptos" w:hAnsi="Aptos" w:eastAsia="Aptos"/>
                <w:b/>
                <w:color w:val="E9684A"/>
                <w:sz w:val="17"/>
              </w:rPr>
              <w:t>DATA ENGINEERING  •  RETAIL  •  LAKEHOUSE</w:t>
            </w:r>
          </w:p>
          <w:p>
            <w:pPr>
              <w:spacing w:after="160"/>
            </w:pPr>
            <w:r>
              <w:rPr>
                <w:rFonts w:ascii="Aptos Display" w:hAnsi="Aptos Display" w:eastAsia="Aptos Display"/>
                <w:b/>
                <w:color w:val="FFFFFF"/>
                <w:sz w:val="68"/>
              </w:rPr>
              <w:t>Retail Core</w:t>
              <w:br/>
              <w:t>Lakehouse</w:t>
            </w:r>
          </w:p>
          <w:p>
            <w:pPr>
              <w:spacing w:after="560"/>
            </w:pPr>
            <w:r>
              <w:rPr>
                <w:rFonts w:ascii="Aptos" w:hAnsi="Aptos" w:eastAsia="Aptos"/>
                <w:color w:val="C7D3DE"/>
                <w:sz w:val="26"/>
              </w:rPr>
              <w:t>Dossier de conception, d’exécution et d’industrialisation</w:t>
            </w:r>
          </w:p>
          <w:p>
            <w:pPr>
              <w:spacing w:after="40"/>
            </w:pPr>
            <w:r>
              <w:rPr>
                <w:rFonts w:ascii="Aptos" w:hAnsi="Aptos" w:eastAsia="Aptos"/>
                <w:b/>
                <w:color w:val="FFFFFF"/>
                <w:sz w:val="24"/>
              </w:rPr>
              <w:t>IKEL OUEDRAOGO</w:t>
            </w:r>
          </w:p>
          <w:p>
            <w:r>
              <w:rPr>
                <w:rFonts w:ascii="Aptos" w:hAnsi="Aptos" w:eastAsia="Aptos"/>
                <w:color w:val="ADBBC7"/>
                <w:sz w:val="18"/>
              </w:rPr>
              <w:t>Data Engineer  •  Septembre 2026</w:t>
            </w:r>
          </w:p>
        </w:tc>
      </w:tr>
    </w:tbl>
    <w:p>
      <w:pPr>
        <w:spacing w:after="160"/>
      </w:pPr>
    </w:p>
    <w:tbl>
      <w:tblPr>
        <w:tblW w:type="auto" w:w="0"/>
        <w:jc w:val="center"/>
        <w:tblLayout w:type="fixed"/>
        <w:tblLook w:firstColumn="1" w:firstRow="1" w:lastColumn="0" w:lastRow="0" w:noHBand="0" w:noVBand="1" w:val="04A0"/>
      </w:tblPr>
      <w:tblGrid>
        <w:gridCol w:w="2592"/>
        <w:gridCol w:w="2592"/>
        <w:gridCol w:w="2592"/>
        <w:gridCol w:w="2592"/>
      </w:tblGrid>
      <w:tr>
        <w:tc>
          <w:tcPr>
            <w:tcW w:type="dxa" w:w="2592"/>
            <w:shd w:fill="1A2230"/>
            <w:tcMar>
              <w:top w:w="150" w:type="dxa"/>
              <w:start w:w="110" w:type="dxa"/>
              <w:bottom w:w="150" w:type="dxa"/>
              <w:end w:w="110" w:type="dxa"/>
            </w:tcMar>
          </w:tcPr>
          <w:p>
            <w:pPr>
              <w:spacing w:after="40"/>
              <w:jc w:val="center"/>
            </w:pPr>
            <w:r/>
            <w:r>
              <w:rPr>
                <w:rFonts w:ascii="Aptos Display" w:hAnsi="Aptos Display" w:eastAsia="Aptos Display"/>
                <w:b/>
                <w:color w:val="FFFFFF"/>
                <w:sz w:val="30"/>
              </w:rPr>
              <w:t>8</w:t>
            </w:r>
          </w:p>
          <w:p>
            <w:pPr>
              <w:spacing w:after="0"/>
              <w:jc w:val="center"/>
            </w:pPr>
            <w:r>
              <w:rPr>
                <w:rFonts w:ascii="Aptos" w:hAnsi="Aptos" w:eastAsia="Aptos"/>
                <w:b/>
                <w:color w:val="B0BCC9"/>
                <w:sz w:val="14"/>
              </w:rPr>
              <w:t>FLUX</w:t>
            </w:r>
          </w:p>
        </w:tc>
        <w:tc>
          <w:tcPr>
            <w:tcW w:type="dxa" w:w="2592"/>
            <w:shd w:fill="1A2230"/>
            <w:tcMar>
              <w:top w:w="150" w:type="dxa"/>
              <w:start w:w="110" w:type="dxa"/>
              <w:bottom w:w="150" w:type="dxa"/>
              <w:end w:w="110" w:type="dxa"/>
            </w:tcMar>
          </w:tcPr>
          <w:p>
            <w:pPr>
              <w:spacing w:after="40"/>
              <w:jc w:val="center"/>
            </w:pPr>
            <w:r/>
            <w:r>
              <w:rPr>
                <w:rFonts w:ascii="Aptos Display" w:hAnsi="Aptos Display" w:eastAsia="Aptos Display"/>
                <w:b/>
                <w:color w:val="FFFFFF"/>
                <w:sz w:val="30"/>
              </w:rPr>
              <w:t>3 160</w:t>
            </w:r>
          </w:p>
          <w:p>
            <w:pPr>
              <w:spacing w:after="0"/>
              <w:jc w:val="center"/>
            </w:pPr>
            <w:r>
              <w:rPr>
                <w:rFonts w:ascii="Aptos" w:hAnsi="Aptos" w:eastAsia="Aptos"/>
                <w:b/>
                <w:color w:val="B0BCC9"/>
                <w:sz w:val="14"/>
              </w:rPr>
              <w:t>ÉVÉNEMENTS</w:t>
            </w:r>
          </w:p>
        </w:tc>
        <w:tc>
          <w:tcPr>
            <w:tcW w:type="dxa" w:w="2592"/>
            <w:shd w:fill="1A2230"/>
            <w:tcMar>
              <w:top w:w="150" w:type="dxa"/>
              <w:start w:w="110" w:type="dxa"/>
              <w:bottom w:w="150" w:type="dxa"/>
              <w:end w:w="110" w:type="dxa"/>
            </w:tcMar>
          </w:tcPr>
          <w:p>
            <w:pPr>
              <w:spacing w:after="40"/>
              <w:jc w:val="center"/>
            </w:pPr>
            <w:r/>
            <w:r>
              <w:rPr>
                <w:rFonts w:ascii="Aptos Display" w:hAnsi="Aptos Display" w:eastAsia="Aptos Display"/>
                <w:b/>
                <w:color w:val="FFFFFF"/>
                <w:sz w:val="30"/>
              </w:rPr>
              <w:t>78</w:t>
            </w:r>
          </w:p>
          <w:p>
            <w:pPr>
              <w:spacing w:after="0"/>
              <w:jc w:val="center"/>
            </w:pPr>
            <w:r>
              <w:rPr>
                <w:rFonts w:ascii="Aptos" w:hAnsi="Aptos" w:eastAsia="Aptos"/>
                <w:b/>
                <w:color w:val="B0BCC9"/>
                <w:sz w:val="14"/>
              </w:rPr>
              <w:t>TESTS DBT</w:t>
            </w:r>
          </w:p>
        </w:tc>
        <w:tc>
          <w:tcPr>
            <w:tcW w:type="dxa" w:w="2592"/>
            <w:shd w:fill="1A2230"/>
            <w:tcMar>
              <w:top w:w="150" w:type="dxa"/>
              <w:start w:w="110" w:type="dxa"/>
              <w:bottom w:w="150" w:type="dxa"/>
              <w:end w:w="110" w:type="dxa"/>
            </w:tcMar>
          </w:tcPr>
          <w:p>
            <w:pPr>
              <w:spacing w:after="40"/>
              <w:jc w:val="center"/>
            </w:pPr>
            <w:r/>
            <w:r>
              <w:rPr>
                <w:rFonts w:ascii="Aptos Display" w:hAnsi="Aptos Display" w:eastAsia="Aptos Display"/>
                <w:b/>
                <w:color w:val="FFFFFF"/>
                <w:sz w:val="30"/>
              </w:rPr>
              <w:t>0</w:t>
            </w:r>
          </w:p>
          <w:p>
            <w:pPr>
              <w:spacing w:after="0"/>
              <w:jc w:val="center"/>
            </w:pPr>
            <w:r>
              <w:rPr>
                <w:rFonts w:ascii="Aptos" w:hAnsi="Aptos" w:eastAsia="Aptos"/>
                <w:b/>
                <w:color w:val="B0BCC9"/>
                <w:sz w:val="14"/>
              </w:rPr>
              <w:t>ÉCART</w:t>
            </w:r>
          </w:p>
        </w:tc>
      </w:tr>
    </w:tbl>
    <w:p>
      <w:pPr>
        <w:spacing w:after="0"/>
      </w:pPr>
    </w:p>
    <w:tbl>
      <w:tblPr>
        <w:tblW w:type="auto" w:w="0"/>
        <w:jc w:val="center"/>
        <w:tblLayout w:type="fixed"/>
        <w:tblLook w:firstColumn="1" w:firstRow="1" w:lastColumn="0" w:lastRow="0" w:noHBand="0" w:noVBand="1" w:val="04A0"/>
      </w:tblPr>
      <w:tblGrid>
        <w:gridCol w:w="125"/>
        <w:gridCol w:w="9286"/>
      </w:tblGrid>
      <w:tr>
        <w:tc>
          <w:tcPr>
            <w:tcW w:type="dxa" w:w="124"/>
            <w:shd w:fill="E9684A"/>
            <w:tcMar>
              <w:top w:w="0" w:type="dxa"/>
              <w:start w:w="0" w:type="dxa"/>
              <w:bottom w:w="0" w:type="dxa"/>
              <w:end w:w="0" w:type="dxa"/>
            </w:tcMar>
          </w:tcPr>
          <w:p/>
        </w:tc>
        <w:tc>
          <w:tcPr>
            <w:tcW w:type="dxa" w:w="9287"/>
            <w:shd w:fill="FBEDE9"/>
          </w:tcPr>
          <w:p>
            <w:pPr>
              <w:spacing w:after="40"/>
            </w:pPr>
            <w:r/>
            <w:r>
              <w:rPr>
                <w:rFonts w:ascii="Aptos" w:hAnsi="Aptos" w:eastAsia="Aptos"/>
                <w:b/>
                <w:color w:val="111722"/>
                <w:sz w:val="18"/>
              </w:rPr>
              <w:t>Positionnement</w:t>
            </w:r>
          </w:p>
          <w:p>
            <w:pPr>
              <w:spacing w:after="0" w:line="252" w:lineRule="auto"/>
            </w:pPr>
            <w:r>
              <w:rPr>
                <w:rFonts w:ascii="Aptos" w:hAnsi="Aptos" w:eastAsia="Aptos"/>
                <w:color w:val="5C6876"/>
                <w:sz w:val="17"/>
              </w:rPr>
              <w:t>Une plateforme retail réellement orchestrée par Airflow, testée par dbt et exercée contre des API AWS locales, avec Snowflake comme cible explicite.</w:t>
            </w:r>
          </w:p>
        </w:tc>
      </w:tr>
    </w:tbl>
    <w:p>
      <w:pPr>
        <w:spacing w:after="0"/>
      </w:pPr>
    </w:p>
    <w:p>
      <w:pPr>
        <w:jc w:val="center"/>
      </w:pPr>
      <w:hyperlink r:id="rId11">
        <w:r>
          <w:rPr>
            <w:color w:val="2E7F8C"/>
            <w:u w:val="single"/>
          </w:rPr>
          <w:t>Démonstration interactive</w:t>
        </w:r>
      </w:hyperlink>
      <w:r>
        <w:t xml:space="preserve">   •   </w:t>
      </w:r>
      <w:hyperlink r:id="rId12">
        <w:r>
          <w:rPr>
            <w:color w:val="2E7F8C"/>
            <w:u w:val="single"/>
          </w:rPr>
          <w:t>Code source</w:t>
        </w:r>
      </w:hyperlink>
    </w:p>
    <w:p>
      <w:r>
        <w:br w:type="page"/>
      </w:r>
    </w:p>
    <w:p>
      <w:pPr>
        <w:keepNext/>
        <w:spacing w:after="40"/>
      </w:pPr>
      <w:r>
        <w:rPr>
          <w:rFonts w:ascii="Aptos" w:hAnsi="Aptos" w:eastAsia="Aptos"/>
          <w:b/>
          <w:color w:val="E9684A"/>
          <w:sz w:val="16"/>
        </w:rPr>
        <w:t>01</w:t>
      </w:r>
    </w:p>
    <w:p>
      <w:pPr>
        <w:pStyle w:val="Title"/>
        <w:keepNext/>
        <w:spacing w:after="80"/>
      </w:pPr>
      <w:r>
        <w:rPr>
          <w:rFonts w:ascii="Aptos Display" w:hAnsi="Aptos Display" w:eastAsia="Aptos Display"/>
          <w:b/>
          <w:color w:val="111722"/>
          <w:sz w:val="44"/>
        </w:rPr>
        <w:t>Synthèse exécutive</w:t>
      </w:r>
    </w:p>
    <w:p>
      <w:pPr>
        <w:pStyle w:val="Subtitle"/>
        <w:spacing w:after="220"/>
      </w:pPr>
      <w:r>
        <w:t>Un produit data conçu autour de la confiance métier</w:t>
      </w:r>
    </w:p>
    <w:p>
      <w:pPr>
        <w:spacing w:after="140" w:line="269" w:lineRule="auto"/>
      </w:pPr>
      <w:r>
        <w:rPr>
          <w:rFonts w:ascii="Aptos" w:hAnsi="Aptos" w:eastAsia="Aptos"/>
          <w:color w:val="1E2631"/>
          <w:sz w:val="18"/>
        </w:rPr>
        <w:t>J’ai construit cette plateforme pour réunir commandes, paiements, clients, produits, stocks et événements digitaux dans une source de vérité omnicanale. Le projet répond à une question simple : comment prendre une décision retail rapidement sans accepter des chiffres contradictoires ?</w:t>
      </w:r>
    </w:p>
    <w:p>
      <w:pPr>
        <w:spacing w:after="140" w:line="269" w:lineRule="auto"/>
      </w:pPr>
      <w:r>
        <w:rPr>
          <w:rFonts w:ascii="Aptos" w:hAnsi="Aptos" w:eastAsia="Aptos"/>
          <w:color w:val="1E2631"/>
          <w:sz w:val="18"/>
        </w:rPr>
        <w:t>Le profil complet exécute une chaîne de six tâches dans Apache Airflow 3.3.1. Il vérifie une source compatible Airbyte, charge une zone Raw dans S3 local, valide et publie les événements dans Kinesis local, construit un modèle de référence, lance dbt Core sur DuckDB et ouvre le publishing gate uniquement si les rapprochements sont exacts.</w:t>
      </w:r>
    </w:p>
    <w:tbl>
      <w:tblPr>
        <w:tblW w:type="auto" w:w="0"/>
        <w:jc w:val="center"/>
        <w:tblLayout w:type="fixed"/>
        <w:tblLook w:firstColumn="1" w:firstRow="1" w:lastColumn="0" w:lastRow="0" w:noHBand="0" w:noVBand="1" w:val="04A0"/>
      </w:tblPr>
      <w:tblGrid>
        <w:gridCol w:w="2592"/>
        <w:gridCol w:w="2592"/>
        <w:gridCol w:w="2592"/>
        <w:gridCol w:w="2592"/>
      </w:tblGrid>
      <w:tr>
        <w:tc>
          <w:tcPr>
            <w:tcW w:type="dxa" w:w="2592"/>
            <w:shd w:fill="1A2230"/>
            <w:tcMar>
              <w:top w:w="150" w:type="dxa"/>
              <w:start w:w="110" w:type="dxa"/>
              <w:bottom w:w="150" w:type="dxa"/>
              <w:end w:w="110" w:type="dxa"/>
            </w:tcMar>
          </w:tcPr>
          <w:p>
            <w:pPr>
              <w:spacing w:after="40"/>
              <w:jc w:val="center"/>
            </w:pPr>
            <w:r/>
            <w:r>
              <w:rPr>
                <w:rFonts w:ascii="Aptos Display" w:hAnsi="Aptos Display" w:eastAsia="Aptos Display"/>
                <w:b/>
                <w:color w:val="FFFFFF"/>
                <w:sz w:val="30"/>
              </w:rPr>
              <w:t>5 928</w:t>
            </w:r>
          </w:p>
          <w:p>
            <w:pPr>
              <w:spacing w:after="0"/>
              <w:jc w:val="center"/>
            </w:pPr>
            <w:r>
              <w:rPr>
                <w:rFonts w:ascii="Aptos" w:hAnsi="Aptos" w:eastAsia="Aptos"/>
                <w:b/>
                <w:color w:val="B0BCC9"/>
                <w:sz w:val="14"/>
              </w:rPr>
              <w:t>LIGNES SOURCES</w:t>
            </w:r>
          </w:p>
        </w:tc>
        <w:tc>
          <w:tcPr>
            <w:tcW w:type="dxa" w:w="2592"/>
            <w:shd w:fill="1A2230"/>
            <w:tcMar>
              <w:top w:w="150" w:type="dxa"/>
              <w:start w:w="110" w:type="dxa"/>
              <w:bottom w:w="150" w:type="dxa"/>
              <w:end w:w="110" w:type="dxa"/>
            </w:tcMar>
          </w:tcPr>
          <w:p>
            <w:pPr>
              <w:spacing w:after="40"/>
              <w:jc w:val="center"/>
            </w:pPr>
            <w:r/>
            <w:r>
              <w:rPr>
                <w:rFonts w:ascii="Aptos Display" w:hAnsi="Aptos Display" w:eastAsia="Aptos Display"/>
                <w:b/>
                <w:color w:val="FFFFFF"/>
                <w:sz w:val="30"/>
              </w:rPr>
              <w:t>24/24</w:t>
            </w:r>
          </w:p>
          <w:p>
            <w:pPr>
              <w:spacing w:after="0"/>
              <w:jc w:val="center"/>
            </w:pPr>
            <w:r>
              <w:rPr>
                <w:rFonts w:ascii="Aptos" w:hAnsi="Aptos" w:eastAsia="Aptos"/>
                <w:b/>
                <w:color w:val="B0BCC9"/>
                <w:sz w:val="14"/>
              </w:rPr>
              <w:t>CONTRÔLES PYTHON</w:t>
            </w:r>
          </w:p>
        </w:tc>
        <w:tc>
          <w:tcPr>
            <w:tcW w:type="dxa" w:w="2592"/>
            <w:shd w:fill="1A2230"/>
            <w:tcMar>
              <w:top w:w="150" w:type="dxa"/>
              <w:start w:w="110" w:type="dxa"/>
              <w:bottom w:w="150" w:type="dxa"/>
              <w:end w:w="110" w:type="dxa"/>
            </w:tcMar>
          </w:tcPr>
          <w:p>
            <w:pPr>
              <w:spacing w:after="40"/>
              <w:jc w:val="center"/>
            </w:pPr>
            <w:r/>
            <w:r>
              <w:rPr>
                <w:rFonts w:ascii="Aptos Display" w:hAnsi="Aptos Display" w:eastAsia="Aptos Display"/>
                <w:b/>
                <w:color w:val="FFFFFF"/>
                <w:sz w:val="30"/>
              </w:rPr>
              <w:t>19</w:t>
            </w:r>
          </w:p>
          <w:p>
            <w:pPr>
              <w:spacing w:after="0"/>
              <w:jc w:val="center"/>
            </w:pPr>
            <w:r>
              <w:rPr>
                <w:rFonts w:ascii="Aptos" w:hAnsi="Aptos" w:eastAsia="Aptos"/>
                <w:b/>
                <w:color w:val="B0BCC9"/>
                <w:sz w:val="14"/>
              </w:rPr>
              <w:t>MODÈLES DBT</w:t>
            </w:r>
          </w:p>
        </w:tc>
        <w:tc>
          <w:tcPr>
            <w:tcW w:type="dxa" w:w="2592"/>
            <w:shd w:fill="1A2230"/>
            <w:tcMar>
              <w:top w:w="150" w:type="dxa"/>
              <w:start w:w="110" w:type="dxa"/>
              <w:bottom w:w="150" w:type="dxa"/>
              <w:end w:w="110" w:type="dxa"/>
            </w:tcMar>
          </w:tcPr>
          <w:p>
            <w:pPr>
              <w:spacing w:after="40"/>
              <w:jc w:val="center"/>
            </w:pPr>
            <w:r/>
            <w:r>
              <w:rPr>
                <w:rFonts w:ascii="Aptos Display" w:hAnsi="Aptos Display" w:eastAsia="Aptos Display"/>
                <w:b/>
                <w:color w:val="FFFFFF"/>
                <w:sz w:val="30"/>
              </w:rPr>
              <w:t>0,00 €</w:t>
            </w:r>
          </w:p>
          <w:p>
            <w:pPr>
              <w:spacing w:after="0"/>
              <w:jc w:val="center"/>
            </w:pPr>
            <w:r>
              <w:rPr>
                <w:rFonts w:ascii="Aptos" w:hAnsi="Aptos" w:eastAsia="Aptos"/>
                <w:b/>
                <w:color w:val="B0BCC9"/>
                <w:sz w:val="14"/>
              </w:rPr>
              <w:t>ÉCART PAIEMENT</w:t>
            </w:r>
          </w:p>
        </w:tc>
      </w:tr>
    </w:tbl>
    <w:p>
      <w:pPr>
        <w:spacing w:after="0"/>
      </w:pPr>
    </w:p>
    <w:p>
      <w:pPr>
        <w:pStyle w:val="Heading2"/>
      </w:pPr>
      <w:r>
        <w:t>Résultats métier</w:t>
      </w:r>
    </w:p>
    <w:p>
      <w:pPr>
        <w:pStyle w:val="ListBullet"/>
        <w:spacing w:after="80" w:line="252" w:lineRule="auto"/>
        <w:ind w:left="272" w:hanging="136"/>
      </w:pPr>
      <w:r>
        <w:rPr>
          <w:rFonts w:ascii="Aptos" w:hAnsi="Aptos" w:eastAsia="Aptos"/>
          <w:color w:val="1E2631"/>
          <w:sz w:val="18"/>
        </w:rPr>
        <w:t>Une vision cohérente des ventes web, magasin et marketplace.</w:t>
      </w:r>
    </w:p>
    <w:p>
      <w:pPr>
        <w:pStyle w:val="ListBullet"/>
        <w:spacing w:after="80" w:line="252" w:lineRule="auto"/>
        <w:ind w:left="272" w:hanging="136"/>
      </w:pPr>
      <w:r>
        <w:rPr>
          <w:rFonts w:ascii="Aptos" w:hAnsi="Aptos" w:eastAsia="Aptos"/>
          <w:color w:val="1E2631"/>
          <w:sz w:val="18"/>
        </w:rPr>
        <w:t>Un stock Available to Promise calculé et classé par niveau de risque.</w:t>
      </w:r>
    </w:p>
    <w:p>
      <w:pPr>
        <w:pStyle w:val="ListBullet"/>
        <w:spacing w:after="80" w:line="252" w:lineRule="auto"/>
        <w:ind w:left="272" w:hanging="136"/>
      </w:pPr>
      <w:r>
        <w:rPr>
          <w:rFonts w:ascii="Aptos" w:hAnsi="Aptos" w:eastAsia="Aptos"/>
          <w:color w:val="1E2631"/>
          <w:sz w:val="18"/>
        </w:rPr>
        <w:t>Une identité client résolue entre CRM, e-commerce, POS et marketplace.</w:t>
      </w:r>
    </w:p>
    <w:p>
      <w:pPr>
        <w:pStyle w:val="ListBullet"/>
        <w:spacing w:after="80" w:line="252" w:lineRule="auto"/>
        <w:ind w:left="272" w:hanging="136"/>
      </w:pPr>
      <w:r>
        <w:rPr>
          <w:rFonts w:ascii="Aptos" w:hAnsi="Aptos" w:eastAsia="Aptos"/>
          <w:color w:val="1E2631"/>
          <w:sz w:val="18"/>
        </w:rPr>
        <w:t>Une segmentation RFM et des recommandations de repricing explicables.</w:t>
      </w:r>
    </w:p>
    <w:p>
      <w:pPr>
        <w:pStyle w:val="ListBullet"/>
        <w:spacing w:after="80" w:line="252" w:lineRule="auto"/>
        <w:ind w:left="272" w:hanging="136"/>
      </w:pPr>
      <w:r>
        <w:rPr>
          <w:rFonts w:ascii="Aptos" w:hAnsi="Aptos" w:eastAsia="Aptos"/>
          <w:color w:val="1E2631"/>
          <w:sz w:val="18"/>
        </w:rPr>
        <w:t>Deux invariants comptables : batch/Kinesis et ventes/paiements.</w:t>
      </w:r>
    </w:p>
    <w:p>
      <w:pPr>
        <w:pStyle w:val="Heading2"/>
      </w:pPr>
      <w:r>
        <w:t>Niveau de preuve</w:t>
      </w:r>
    </w:p>
    <w:tbl>
      <w:tblPr>
        <w:tblStyle w:val="TableGrid"/>
        <w:tblW w:type="auto" w:w="0"/>
        <w:jc w:val="center"/>
        <w:tblLayout w:type="fixed"/>
        <w:tblLook w:firstColumn="1" w:firstRow="1" w:lastColumn="0" w:lastRow="0" w:noHBand="0" w:noVBand="1" w:val="04A0"/>
      </w:tblPr>
      <w:tblGrid>
        <w:gridCol w:w="3457"/>
        <w:gridCol w:w="3457"/>
        <w:gridCol w:w="3457"/>
      </w:tblGrid>
      <w:tr>
        <w:trPr>
          <w:tblHeader w:val="true"/>
          <w:cantSplit/>
        </w:trPr>
        <w:tc>
          <w:tcPr>
            <w:tcW w:type="dxa" w:w="1587"/>
            <w:shd w:fill="111722"/>
            <w:vAlign w:val="center"/>
            <w:tcMar>
              <w:top w:w="90" w:type="dxa"/>
              <w:start w:w="110" w:type="dxa"/>
              <w:bottom w:w="90" w:type="dxa"/>
              <w:end w:w="110" w:type="dxa"/>
            </w:tcMar>
          </w:tcPr>
          <w:p>
            <w:pPr>
              <w:spacing w:after="0" w:before="0" w:line="247" w:lineRule="auto"/>
            </w:pPr>
            <w:r/>
            <w:r>
              <w:rPr>
                <w:rFonts w:ascii="Aptos" w:hAnsi="Aptos" w:eastAsia="Aptos"/>
                <w:b/>
                <w:color w:val="FFFFFF"/>
                <w:sz w:val="15"/>
              </w:rPr>
              <w:t>NIVEAU</w:t>
            </w:r>
          </w:p>
        </w:tc>
        <w:tc>
          <w:tcPr>
            <w:tcW w:type="dxa" w:w="3061"/>
            <w:shd w:fill="111722"/>
            <w:vAlign w:val="center"/>
            <w:tcMar>
              <w:top w:w="90" w:type="dxa"/>
              <w:start w:w="110" w:type="dxa"/>
              <w:bottom w:w="90" w:type="dxa"/>
              <w:end w:w="110" w:type="dxa"/>
            </w:tcMar>
          </w:tcPr>
          <w:p>
            <w:pPr>
              <w:spacing w:after="0" w:before="0" w:line="247" w:lineRule="auto"/>
            </w:pPr>
            <w:r/>
            <w:r>
              <w:rPr>
                <w:rFonts w:ascii="Aptos" w:hAnsi="Aptos" w:eastAsia="Aptos"/>
                <w:b/>
                <w:color w:val="FFFFFF"/>
                <w:sz w:val="15"/>
              </w:rPr>
              <w:t>COMPOSANTS</w:t>
            </w:r>
          </w:p>
        </w:tc>
        <w:tc>
          <w:tcPr>
            <w:tcW w:type="dxa" w:w="4762"/>
            <w:shd w:fill="111722"/>
            <w:vAlign w:val="center"/>
            <w:tcMar>
              <w:top w:w="90" w:type="dxa"/>
              <w:start w:w="110" w:type="dxa"/>
              <w:bottom w:w="90" w:type="dxa"/>
              <w:end w:w="110" w:type="dxa"/>
            </w:tcMar>
          </w:tcPr>
          <w:p>
            <w:pPr>
              <w:spacing w:after="0" w:before="0" w:line="247" w:lineRule="auto"/>
            </w:pPr>
            <w:r/>
            <w:r>
              <w:rPr>
                <w:rFonts w:ascii="Aptos" w:hAnsi="Aptos" w:eastAsia="Aptos"/>
                <w:b/>
                <w:color w:val="FFFFFF"/>
                <w:sz w:val="15"/>
              </w:rPr>
              <w:t>INTERPRÉTATION</w:t>
            </w:r>
          </w:p>
        </w:tc>
      </w:tr>
      <w:tr>
        <w:trPr>
          <w:cantSplit/>
        </w:trPr>
        <w:tc>
          <w:tcPr>
            <w:tcW w:type="dxa" w:w="158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Exécuté</w:t>
            </w:r>
          </w:p>
        </w:tc>
        <w:tc>
          <w:tcPr>
            <w:tcW w:type="dxa" w:w="3061"/>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Airflow, dbt, DuckDB, Python, tests, cockpit</w:t>
            </w:r>
          </w:p>
        </w:tc>
        <w:tc>
          <w:tcPr>
            <w:tcW w:type="dxa" w:w="4762"/>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Le code tourne réellement dans le profil local.</w:t>
            </w:r>
          </w:p>
        </w:tc>
      </w:tr>
      <w:tr>
        <w:trPr>
          <w:cantSplit/>
        </w:trPr>
        <w:tc>
          <w:tcPr>
            <w:tcW w:type="dxa" w:w="1587"/>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Émulé localement</w:t>
            </w:r>
          </w:p>
        </w:tc>
        <w:tc>
          <w:tcPr>
            <w:tcW w:type="dxa" w:w="3061"/>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S3, Kinesis, CloudWatch</w:t>
            </w:r>
          </w:p>
        </w:tc>
        <w:tc>
          <w:tcPr>
            <w:tcW w:type="dxa" w:w="4762"/>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Les SDK appellent LocalStack, pas un compte AWS réel.</w:t>
            </w:r>
          </w:p>
        </w:tc>
      </w:tr>
      <w:tr>
        <w:trPr>
          <w:cantSplit/>
        </w:trPr>
        <w:tc>
          <w:tcPr>
            <w:tcW w:type="dxa" w:w="158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Compatible</w:t>
            </w:r>
          </w:p>
        </w:tc>
        <w:tc>
          <w:tcPr>
            <w:tcW w:type="dxa" w:w="3061"/>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Airbyte, validateur Lambda</w:t>
            </w:r>
          </w:p>
        </w:tc>
        <w:tc>
          <w:tcPr>
            <w:tcW w:type="dxa" w:w="4762"/>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Le protocole ou contrat attendu est implémenté et testé.</w:t>
            </w:r>
          </w:p>
        </w:tc>
      </w:tr>
      <w:tr>
        <w:trPr>
          <w:cantSplit/>
        </w:trPr>
        <w:tc>
          <w:tcPr>
            <w:tcW w:type="dxa" w:w="1587"/>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Cible</w:t>
            </w:r>
          </w:p>
        </w:tc>
        <w:tc>
          <w:tcPr>
            <w:tcW w:type="dxa" w:w="3061"/>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Snowflake, MWAA, compte AWS</w:t>
            </w:r>
          </w:p>
        </w:tc>
        <w:tc>
          <w:tcPr>
            <w:tcW w:type="dxa" w:w="4762"/>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Configuration fournie sans revendiquer un déploiement externe.</w:t>
            </w:r>
          </w:p>
        </w:tc>
      </w:tr>
    </w:tbl>
    <w:p>
      <w:pPr>
        <w:spacing w:after="0"/>
      </w:pPr>
    </w:p>
    <w:p>
      <w:r>
        <w:br w:type="page"/>
      </w:r>
    </w:p>
    <w:p>
      <w:pPr>
        <w:keepNext/>
        <w:spacing w:after="40"/>
      </w:pPr>
      <w:r>
        <w:rPr>
          <w:rFonts w:ascii="Aptos" w:hAnsi="Aptos" w:eastAsia="Aptos"/>
          <w:b/>
          <w:color w:val="E9684A"/>
          <w:sz w:val="16"/>
        </w:rPr>
        <w:t>02</w:t>
      </w:r>
    </w:p>
    <w:p>
      <w:pPr>
        <w:pStyle w:val="Title"/>
        <w:keepNext/>
        <w:spacing w:after="80"/>
      </w:pPr>
      <w:r>
        <w:rPr>
          <w:rFonts w:ascii="Aptos Display" w:hAnsi="Aptos Display" w:eastAsia="Aptos Display"/>
          <w:b/>
          <w:color w:val="111722"/>
          <w:sz w:val="44"/>
        </w:rPr>
        <w:t>Enjeu métier et données</w:t>
      </w:r>
    </w:p>
    <w:p>
      <w:pPr>
        <w:pStyle w:val="Subtitle"/>
        <w:spacing w:after="220"/>
      </w:pPr>
      <w:r>
        <w:t>Huit flux pour représenter le cœur d’un retailer omnicanal</w:t>
      </w:r>
    </w:p>
    <w:p>
      <w:pPr>
        <w:spacing w:after="140" w:line="269" w:lineRule="auto"/>
      </w:pPr>
      <w:r>
        <w:rPr>
          <w:rFonts w:ascii="Aptos" w:hAnsi="Aptos" w:eastAsia="Aptos"/>
          <w:color w:val="1E2631"/>
          <w:sz w:val="18"/>
        </w:rPr>
        <w:t>Dans un système retail, les mêmes ventes sont observées par le POS, l’e-commerce, le paiement, le streaming et la comptabilité. Sans grains et clés partagés, chaque équipe peut produire un résultat différent. Mon modèle centralise ces points de vue et rend leurs écarts visibles avant publication.</w:t>
      </w:r>
    </w:p>
    <w:tbl>
      <w:tblPr>
        <w:tblStyle w:val="TableGrid"/>
        <w:tblW w:type="auto" w:w="0"/>
        <w:jc w:val="center"/>
        <w:tblLayout w:type="fixed"/>
        <w:tblLook w:firstColumn="1" w:firstRow="1" w:lastColumn="0" w:lastRow="0" w:noHBand="0" w:noVBand="1" w:val="04A0"/>
      </w:tblPr>
      <w:tblGrid>
        <w:gridCol w:w="2592"/>
        <w:gridCol w:w="2592"/>
        <w:gridCol w:w="2592"/>
        <w:gridCol w:w="2592"/>
      </w:tblGrid>
      <w:tr>
        <w:trPr>
          <w:tblHeader w:val="true"/>
          <w:cantSplit/>
        </w:trPr>
        <w:tc>
          <w:tcPr>
            <w:tcW w:type="dxa" w:w="1701"/>
            <w:shd w:fill="111722"/>
            <w:vAlign w:val="center"/>
            <w:tcMar>
              <w:top w:w="90" w:type="dxa"/>
              <w:start w:w="110" w:type="dxa"/>
              <w:bottom w:w="90" w:type="dxa"/>
              <w:end w:w="110" w:type="dxa"/>
            </w:tcMar>
          </w:tcPr>
          <w:p>
            <w:pPr>
              <w:spacing w:after="0" w:before="0" w:line="247" w:lineRule="auto"/>
            </w:pPr>
            <w:r/>
            <w:r>
              <w:rPr>
                <w:rFonts w:ascii="Aptos" w:hAnsi="Aptos" w:eastAsia="Aptos"/>
                <w:b/>
                <w:color w:val="FFFFFF"/>
                <w:sz w:val="15"/>
              </w:rPr>
              <w:t>SOURCE</w:t>
            </w:r>
          </w:p>
        </w:tc>
        <w:tc>
          <w:tcPr>
            <w:tcW w:type="dxa" w:w="793"/>
            <w:shd w:fill="111722"/>
            <w:vAlign w:val="center"/>
            <w:tcMar>
              <w:top w:w="90" w:type="dxa"/>
              <w:start w:w="110" w:type="dxa"/>
              <w:bottom w:w="90" w:type="dxa"/>
              <w:end w:w="110" w:type="dxa"/>
            </w:tcMar>
          </w:tcPr>
          <w:p>
            <w:pPr>
              <w:spacing w:after="0" w:before="0" w:line="247" w:lineRule="auto"/>
            </w:pPr>
            <w:r/>
            <w:r>
              <w:rPr>
                <w:rFonts w:ascii="Aptos" w:hAnsi="Aptos" w:eastAsia="Aptos"/>
                <w:b/>
                <w:color w:val="FFFFFF"/>
                <w:sz w:val="15"/>
              </w:rPr>
              <w:t>VOL.</w:t>
            </w:r>
          </w:p>
        </w:tc>
        <w:tc>
          <w:tcPr>
            <w:tcW w:type="dxa" w:w="2381"/>
            <w:shd w:fill="111722"/>
            <w:vAlign w:val="center"/>
            <w:tcMar>
              <w:top w:w="90" w:type="dxa"/>
              <w:start w:w="110" w:type="dxa"/>
              <w:bottom w:w="90" w:type="dxa"/>
              <w:end w:w="110" w:type="dxa"/>
            </w:tcMar>
          </w:tcPr>
          <w:p>
            <w:pPr>
              <w:spacing w:after="0" w:before="0" w:line="247" w:lineRule="auto"/>
            </w:pPr>
            <w:r/>
            <w:r>
              <w:rPr>
                <w:rFonts w:ascii="Aptos" w:hAnsi="Aptos" w:eastAsia="Aptos"/>
                <w:b/>
                <w:color w:val="FFFFFF"/>
                <w:sz w:val="15"/>
              </w:rPr>
              <w:t>GRAIN</w:t>
            </w:r>
          </w:p>
        </w:tc>
        <w:tc>
          <w:tcPr>
            <w:tcW w:type="dxa" w:w="4536"/>
            <w:shd w:fill="111722"/>
            <w:vAlign w:val="center"/>
            <w:tcMar>
              <w:top w:w="90" w:type="dxa"/>
              <w:start w:w="110" w:type="dxa"/>
              <w:bottom w:w="90" w:type="dxa"/>
              <w:end w:w="110" w:type="dxa"/>
            </w:tcMar>
          </w:tcPr>
          <w:p>
            <w:pPr>
              <w:spacing w:after="0" w:before="0" w:line="247" w:lineRule="auto"/>
            </w:pPr>
            <w:r/>
            <w:r>
              <w:rPr>
                <w:rFonts w:ascii="Aptos" w:hAnsi="Aptos" w:eastAsia="Aptos"/>
                <w:b/>
                <w:color w:val="FFFFFF"/>
                <w:sz w:val="15"/>
              </w:rPr>
              <w:t>USAGE</w:t>
            </w:r>
          </w:p>
        </w:tc>
      </w:tr>
      <w:tr>
        <w:trPr>
          <w:cantSplit/>
        </w:trPr>
        <w:tc>
          <w:tcPr>
            <w:tcW w:type="dxa" w:w="1701"/>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Produits</w:t>
            </w:r>
          </w:p>
        </w:tc>
        <w:tc>
          <w:tcPr>
            <w:tcW w:type="dxa" w:w="793"/>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12</w:t>
            </w:r>
          </w:p>
        </w:tc>
        <w:tc>
          <w:tcPr>
            <w:tcW w:type="dxa" w:w="2381"/>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un produit</w:t>
            </w:r>
          </w:p>
        </w:tc>
        <w:tc>
          <w:tcPr>
            <w:tcW w:type="dxa" w:w="4536"/>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hiérarchie, catégorie, collection, prix</w:t>
            </w:r>
          </w:p>
        </w:tc>
      </w:tr>
      <w:tr>
        <w:trPr>
          <w:cantSplit/>
        </w:trPr>
        <w:tc>
          <w:tcPr>
            <w:tcW w:type="dxa" w:w="1701"/>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Clients</w:t>
            </w:r>
          </w:p>
        </w:tc>
        <w:tc>
          <w:tcPr>
            <w:tcW w:type="dxa" w:w="793"/>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160</w:t>
            </w:r>
          </w:p>
        </w:tc>
        <w:tc>
          <w:tcPr>
            <w:tcW w:type="dxa" w:w="2381"/>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un Golden Record</w:t>
            </w:r>
          </w:p>
        </w:tc>
        <w:tc>
          <w:tcPr>
            <w:tcW w:type="dxa" w:w="4536"/>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fidélité, pays, consentement</w:t>
            </w:r>
          </w:p>
        </w:tc>
      </w:tr>
      <w:tr>
        <w:trPr>
          <w:cantSplit/>
        </w:trPr>
        <w:tc>
          <w:tcPr>
            <w:tcW w:type="dxa" w:w="1701"/>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Identités</w:t>
            </w:r>
          </w:p>
        </w:tc>
        <w:tc>
          <w:tcPr>
            <w:tcW w:type="dxa" w:w="793"/>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640</w:t>
            </w:r>
          </w:p>
        </w:tc>
        <w:tc>
          <w:tcPr>
            <w:tcW w:type="dxa" w:w="2381"/>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une identité source</w:t>
            </w:r>
          </w:p>
        </w:tc>
        <w:tc>
          <w:tcPr>
            <w:tcW w:type="dxa" w:w="4536"/>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résolution CRM/web/POS/marketplace</w:t>
            </w:r>
          </w:p>
        </w:tc>
      </w:tr>
      <w:tr>
        <w:trPr>
          <w:cantSplit/>
        </w:trPr>
        <w:tc>
          <w:tcPr>
            <w:tcW w:type="dxa" w:w="1701"/>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Stocks</w:t>
            </w:r>
          </w:p>
        </w:tc>
        <w:tc>
          <w:tcPr>
            <w:tcW w:type="dxa" w:w="793"/>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12</w:t>
            </w:r>
          </w:p>
        </w:tc>
        <w:tc>
          <w:tcPr>
            <w:tcW w:type="dxa" w:w="2381"/>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un produit</w:t>
            </w:r>
          </w:p>
        </w:tc>
        <w:tc>
          <w:tcPr>
            <w:tcW w:type="dxa" w:w="4536"/>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magasin, entrepôt, réservé, entrant</w:t>
            </w:r>
          </w:p>
        </w:tc>
      </w:tr>
      <w:tr>
        <w:trPr>
          <w:cantSplit/>
        </w:trPr>
        <w:tc>
          <w:tcPr>
            <w:tcW w:type="dxa" w:w="1701"/>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Commandes</w:t>
            </w:r>
          </w:p>
        </w:tc>
        <w:tc>
          <w:tcPr>
            <w:tcW w:type="dxa" w:w="793"/>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960</w:t>
            </w:r>
          </w:p>
        </w:tc>
        <w:tc>
          <w:tcPr>
            <w:tcW w:type="dxa" w:w="2381"/>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une commande</w:t>
            </w:r>
          </w:p>
        </w:tc>
        <w:tc>
          <w:tcPr>
            <w:tcW w:type="dxa" w:w="4536"/>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canal, quantité, remise, montant</w:t>
            </w:r>
          </w:p>
        </w:tc>
      </w:tr>
      <w:tr>
        <w:trPr>
          <w:cantSplit/>
        </w:trPr>
        <w:tc>
          <w:tcPr>
            <w:tcW w:type="dxa" w:w="1701"/>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Paiements</w:t>
            </w:r>
          </w:p>
        </w:tc>
        <w:tc>
          <w:tcPr>
            <w:tcW w:type="dxa" w:w="793"/>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960</w:t>
            </w:r>
          </w:p>
        </w:tc>
        <w:tc>
          <w:tcPr>
            <w:tcW w:type="dxa" w:w="2381"/>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une transaction</w:t>
            </w:r>
          </w:p>
        </w:tc>
        <w:tc>
          <w:tcPr>
            <w:tcW w:type="dxa" w:w="4536"/>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statut, moyen, montant soldé</w:t>
            </w:r>
          </w:p>
        </w:tc>
      </w:tr>
      <w:tr>
        <w:trPr>
          <w:cantSplit/>
        </w:trPr>
        <w:tc>
          <w:tcPr>
            <w:tcW w:type="dxa" w:w="1701"/>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Événements</w:t>
            </w:r>
          </w:p>
        </w:tc>
        <w:tc>
          <w:tcPr>
            <w:tcW w:type="dxa" w:w="793"/>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3 160</w:t>
            </w:r>
          </w:p>
        </w:tc>
        <w:tc>
          <w:tcPr>
            <w:tcW w:type="dxa" w:w="2381"/>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un événement</w:t>
            </w:r>
          </w:p>
        </w:tc>
        <w:tc>
          <w:tcPr>
            <w:tcW w:type="dxa" w:w="4536"/>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vue, panier, achat, latence</w:t>
            </w:r>
          </w:p>
        </w:tc>
      </w:tr>
      <w:tr>
        <w:trPr>
          <w:cantSplit/>
        </w:trPr>
        <w:tc>
          <w:tcPr>
            <w:tcW w:type="dxa" w:w="1701"/>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Prix</w:t>
            </w:r>
          </w:p>
        </w:tc>
        <w:tc>
          <w:tcPr>
            <w:tcW w:type="dxa" w:w="793"/>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24</w:t>
            </w:r>
          </w:p>
        </w:tc>
        <w:tc>
          <w:tcPr>
            <w:tcW w:type="dxa" w:w="2381"/>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une version</w:t>
            </w:r>
          </w:p>
        </w:tc>
        <w:tc>
          <w:tcPr>
            <w:tcW w:type="dxa" w:w="4536"/>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validité et version courante</w:t>
            </w:r>
          </w:p>
        </w:tc>
      </w:tr>
    </w:tbl>
    <w:p>
      <w:pPr>
        <w:spacing w:after="0"/>
      </w:pPr>
    </w:p>
    <w:p>
      <w:pPr>
        <w:pStyle w:val="Heading2"/>
      </w:pPr>
      <w:r>
        <w:t>Résolution d’identité</w:t>
      </w:r>
    </w:p>
    <w:p>
      <w:pPr>
        <w:spacing w:after="140" w:line="269" w:lineRule="auto"/>
      </w:pPr>
      <w:r>
        <w:rPr>
          <w:rFonts w:ascii="Aptos" w:hAnsi="Aptos" w:eastAsia="Aptos"/>
          <w:color w:val="1E2631"/>
          <w:sz w:val="18"/>
        </w:rPr>
        <w:t>Les événements et commandes arrivent avec source_customer_id. Une table de correspondance relie cet identifiant au hash email, puis au customer_id canonique. Ce découpage préserve l’ordre du système source et évite d’exposer l’email dans les marts analytiques.</w:t>
      </w:r>
    </w:p>
    <w:tbl>
      <w:tblPr>
        <w:tblW w:type="auto" w:w="0"/>
        <w:jc w:val="center"/>
        <w:tblLayout w:type="fixed"/>
        <w:tblLook w:firstColumn="1" w:firstRow="1" w:lastColumn="0" w:lastRow="0" w:noHBand="0" w:noVBand="1" w:val="04A0"/>
      </w:tblPr>
      <w:tblGrid>
        <w:gridCol w:w="125"/>
        <w:gridCol w:w="9286"/>
      </w:tblGrid>
      <w:tr>
        <w:tc>
          <w:tcPr>
            <w:tcW w:type="dxa" w:w="124"/>
            <w:shd w:fill="3FBED2"/>
            <w:tcMar>
              <w:top w:w="0" w:type="dxa"/>
              <w:start w:w="0" w:type="dxa"/>
              <w:bottom w:w="0" w:type="dxa"/>
              <w:end w:w="0" w:type="dxa"/>
            </w:tcMar>
          </w:tcPr>
          <w:p/>
        </w:tc>
        <w:tc>
          <w:tcPr>
            <w:tcW w:type="dxa" w:w="9287"/>
            <w:shd w:fill="EAF7F9"/>
          </w:tcPr>
          <w:p>
            <w:pPr>
              <w:spacing w:after="40"/>
            </w:pPr>
            <w:r/>
            <w:r>
              <w:rPr>
                <w:rFonts w:ascii="Aptos" w:hAnsi="Aptos" w:eastAsia="Aptos"/>
                <w:b/>
                <w:color w:val="111722"/>
                <w:sz w:val="18"/>
              </w:rPr>
              <w:t>Protection des données</w:t>
            </w:r>
          </w:p>
          <w:p>
            <w:pPr>
              <w:spacing w:after="0" w:line="252" w:lineRule="auto"/>
            </w:pPr>
            <w:r>
              <w:rPr>
                <w:rFonts w:ascii="Aptos" w:hAnsi="Aptos" w:eastAsia="Aptos"/>
                <w:color w:val="5C6876"/>
                <w:sz w:val="17"/>
              </w:rPr>
              <w:t>Les données sont entièrement synthétiques. Le modèle analytique conserve un hash contrôlé, les identifiants métier et le consentement ; aucun email en clair n’est publié.</w:t>
            </w:r>
          </w:p>
        </w:tc>
      </w:tr>
    </w:tbl>
    <w:p>
      <w:pPr>
        <w:spacing w:after="0"/>
      </w:pPr>
    </w:p>
    <w:p>
      <w:pPr>
        <w:pStyle w:val="Heading2"/>
      </w:pPr>
      <w:r>
        <w:t>Décisions soutenues</w:t>
      </w:r>
    </w:p>
    <w:p>
      <w:pPr>
        <w:pStyle w:val="ListBullet"/>
        <w:spacing w:after="50" w:line="252" w:lineRule="auto"/>
        <w:ind w:left="272" w:hanging="136"/>
      </w:pPr>
      <w:r>
        <w:rPr>
          <w:rFonts w:ascii="Aptos" w:hAnsi="Aptos" w:eastAsia="Aptos"/>
          <w:color w:val="1E2631"/>
          <w:sz w:val="18"/>
        </w:rPr>
        <w:t>Pilotage du chiffre d’affaires et du panier par canal.</w:t>
      </w:r>
    </w:p>
    <w:p>
      <w:pPr>
        <w:pStyle w:val="ListBullet"/>
        <w:spacing w:after="50" w:line="252" w:lineRule="auto"/>
        <w:ind w:left="272" w:hanging="136"/>
      </w:pPr>
      <w:r>
        <w:rPr>
          <w:rFonts w:ascii="Aptos" w:hAnsi="Aptos" w:eastAsia="Aptos"/>
          <w:color w:val="1E2631"/>
          <w:sz w:val="18"/>
        </w:rPr>
        <w:t>Prévention de la survente avec l’ATP.</w:t>
      </w:r>
    </w:p>
    <w:p>
      <w:pPr>
        <w:pStyle w:val="ListBullet"/>
        <w:spacing w:after="50" w:line="252" w:lineRule="auto"/>
        <w:ind w:left="272" w:hanging="136"/>
      </w:pPr>
      <w:r>
        <w:rPr>
          <w:rFonts w:ascii="Aptos" w:hAnsi="Aptos" w:eastAsia="Aptos"/>
          <w:color w:val="1E2631"/>
          <w:sz w:val="18"/>
        </w:rPr>
        <w:t>Priorisation du réassort et du pricing.</w:t>
      </w:r>
    </w:p>
    <w:p>
      <w:pPr>
        <w:pStyle w:val="ListBullet"/>
        <w:spacing w:after="50" w:line="252" w:lineRule="auto"/>
        <w:ind w:left="272" w:hanging="136"/>
      </w:pPr>
      <w:r>
        <w:rPr>
          <w:rFonts w:ascii="Aptos" w:hAnsi="Aptos" w:eastAsia="Aptos"/>
          <w:color w:val="1E2631"/>
          <w:sz w:val="18"/>
        </w:rPr>
        <w:t>Activation client gouvernée avec RFM et consentement.</w:t>
      </w:r>
    </w:p>
    <w:p>
      <w:pPr>
        <w:pStyle w:val="ListBullet"/>
        <w:spacing w:after="50" w:line="252" w:lineRule="auto"/>
        <w:ind w:left="272" w:hanging="136"/>
      </w:pPr>
      <w:r>
        <w:rPr>
          <w:rFonts w:ascii="Aptos" w:hAnsi="Aptos" w:eastAsia="Aptos"/>
          <w:color w:val="1E2631"/>
          <w:sz w:val="18"/>
        </w:rPr>
        <w:t>Contrôle de l’exhaustivité événementielle et financière.</w:t>
      </w:r>
    </w:p>
    <w:p>
      <w:r>
        <w:br w:type="page"/>
      </w:r>
    </w:p>
    <w:p>
      <w:pPr>
        <w:keepNext/>
        <w:spacing w:after="40"/>
      </w:pPr>
      <w:r>
        <w:rPr>
          <w:rFonts w:ascii="Aptos" w:hAnsi="Aptos" w:eastAsia="Aptos"/>
          <w:b/>
          <w:color w:val="E9684A"/>
          <w:sz w:val="16"/>
        </w:rPr>
        <w:t>03</w:t>
      </w:r>
    </w:p>
    <w:p>
      <w:pPr>
        <w:pStyle w:val="Title"/>
        <w:keepNext/>
        <w:spacing w:after="80"/>
      </w:pPr>
      <w:r>
        <w:rPr>
          <w:rFonts w:ascii="Aptos Display" w:hAnsi="Aptos Display" w:eastAsia="Aptos Display"/>
          <w:b/>
          <w:color w:val="111722"/>
          <w:sz w:val="44"/>
        </w:rPr>
        <w:t>Architecture</w:t>
      </w:r>
    </w:p>
    <w:p>
      <w:pPr>
        <w:pStyle w:val="Subtitle"/>
        <w:spacing w:after="220"/>
      </w:pPr>
      <w:r>
        <w:t>Des frontières locales alignées sur une cible cloud</w:t>
      </w:r>
    </w:p>
    <w:tbl>
      <w:tblPr>
        <w:tblW w:type="auto" w:w="0"/>
        <w:jc w:val="center"/>
        <w:tblLayout w:type="fixed"/>
        <w:tblLook w:firstColumn="1" w:firstRow="1" w:lastColumn="0" w:lastRow="0" w:noHBand="0" w:noVBand="1" w:val="04A0"/>
      </w:tblPr>
      <w:tblGrid>
        <w:gridCol w:w="1481"/>
        <w:gridCol w:w="1481"/>
        <w:gridCol w:w="1481"/>
        <w:gridCol w:w="1481"/>
        <w:gridCol w:w="1481"/>
        <w:gridCol w:w="1481"/>
        <w:gridCol w:w="1481"/>
      </w:tblGrid>
      <w:tr>
        <w:tc>
          <w:tcPr>
            <w:tcW w:type="dxa" w:w="1481"/>
            <w:shd w:fill="1A2230"/>
            <w:tcMar>
              <w:top w:w="130" w:type="dxa"/>
              <w:start w:w="110" w:type="dxa"/>
              <w:bottom w:w="130" w:type="dxa"/>
              <w:end w:w="110" w:type="dxa"/>
            </w:tcMar>
          </w:tcPr>
          <w:p>
            <w:pPr>
              <w:spacing w:after="40"/>
              <w:jc w:val="center"/>
            </w:pPr>
            <w:r/>
            <w:r>
              <w:rPr>
                <w:rFonts w:ascii="Aptos" w:hAnsi="Aptos" w:eastAsia="Aptos"/>
                <w:b/>
                <w:color w:val="FFFFFF"/>
                <w:sz w:val="16"/>
              </w:rPr>
              <w:t>SOURCES</w:t>
            </w:r>
          </w:p>
          <w:p>
            <w:pPr>
              <w:spacing w:after="0"/>
              <w:jc w:val="center"/>
            </w:pPr>
            <w:r>
              <w:rPr>
                <w:rFonts w:ascii="Aptos" w:hAnsi="Aptos" w:eastAsia="Aptos"/>
                <w:color w:val="B7C2CE"/>
                <w:sz w:val="14"/>
              </w:rPr>
              <w:t>CRM · ERP · PLM</w:t>
            </w:r>
          </w:p>
        </w:tc>
        <w:tc>
          <w:tcPr>
            <w:tcW w:type="dxa" w:w="1481"/>
            <w:shd w:fill="111722"/>
            <w:tcMar>
              <w:top w:w="130" w:type="dxa"/>
              <w:start w:w="110" w:type="dxa"/>
              <w:bottom w:w="130" w:type="dxa"/>
              <w:end w:w="110" w:type="dxa"/>
            </w:tcMar>
          </w:tcPr>
          <w:p>
            <w:pPr>
              <w:spacing w:after="40"/>
              <w:jc w:val="center"/>
            </w:pPr>
            <w:r/>
            <w:r>
              <w:rPr>
                <w:rFonts w:ascii="Aptos" w:hAnsi="Aptos" w:eastAsia="Aptos"/>
                <w:b/>
                <w:color w:val="FFFFFF"/>
                <w:sz w:val="16"/>
              </w:rPr>
              <w:t>AIRBYTE</w:t>
            </w:r>
          </w:p>
          <w:p>
            <w:pPr>
              <w:spacing w:after="0"/>
              <w:jc w:val="center"/>
            </w:pPr>
            <w:r>
              <w:rPr>
                <w:rFonts w:ascii="Aptos" w:hAnsi="Aptos" w:eastAsia="Aptos"/>
                <w:color w:val="B7C2CE"/>
                <w:sz w:val="14"/>
              </w:rPr>
              <w:t>8 flux</w:t>
            </w:r>
          </w:p>
        </w:tc>
        <w:tc>
          <w:tcPr>
            <w:tcW w:type="dxa" w:w="1481"/>
            <w:shd w:fill="1A2230"/>
            <w:tcMar>
              <w:top w:w="130" w:type="dxa"/>
              <w:start w:w="110" w:type="dxa"/>
              <w:bottom w:w="130" w:type="dxa"/>
              <w:end w:w="110" w:type="dxa"/>
            </w:tcMar>
          </w:tcPr>
          <w:p>
            <w:pPr>
              <w:spacing w:after="40"/>
              <w:jc w:val="center"/>
            </w:pPr>
            <w:r/>
            <w:r>
              <w:rPr>
                <w:rFonts w:ascii="Aptos" w:hAnsi="Aptos" w:eastAsia="Aptos"/>
                <w:b/>
                <w:color w:val="FFFFFF"/>
                <w:sz w:val="16"/>
              </w:rPr>
              <w:t>S3 RAW</w:t>
            </w:r>
          </w:p>
          <w:p>
            <w:pPr>
              <w:spacing w:after="0"/>
              <w:jc w:val="center"/>
            </w:pPr>
            <w:r>
              <w:rPr>
                <w:rFonts w:ascii="Aptos" w:hAnsi="Aptos" w:eastAsia="Aptos"/>
                <w:color w:val="B7C2CE"/>
                <w:sz w:val="14"/>
              </w:rPr>
              <w:t>partitions</w:t>
            </w:r>
          </w:p>
        </w:tc>
        <w:tc>
          <w:tcPr>
            <w:tcW w:type="dxa" w:w="1481"/>
            <w:shd w:fill="111722"/>
            <w:tcMar>
              <w:top w:w="130" w:type="dxa"/>
              <w:start w:w="110" w:type="dxa"/>
              <w:bottom w:w="130" w:type="dxa"/>
              <w:end w:w="110" w:type="dxa"/>
            </w:tcMar>
          </w:tcPr>
          <w:p>
            <w:pPr>
              <w:spacing w:after="40"/>
              <w:jc w:val="center"/>
            </w:pPr>
            <w:r/>
            <w:r>
              <w:rPr>
                <w:rFonts w:ascii="Aptos" w:hAnsi="Aptos" w:eastAsia="Aptos"/>
                <w:b/>
                <w:color w:val="FFFFFF"/>
                <w:sz w:val="16"/>
              </w:rPr>
              <w:t>KINESIS</w:t>
            </w:r>
          </w:p>
          <w:p>
            <w:pPr>
              <w:spacing w:after="0"/>
              <w:jc w:val="center"/>
            </w:pPr>
            <w:r>
              <w:rPr>
                <w:rFonts w:ascii="Aptos" w:hAnsi="Aptos" w:eastAsia="Aptos"/>
                <w:color w:val="B7C2CE"/>
                <w:sz w:val="14"/>
              </w:rPr>
              <w:t>3 160 events</w:t>
            </w:r>
          </w:p>
        </w:tc>
        <w:tc>
          <w:tcPr>
            <w:tcW w:type="dxa" w:w="1481"/>
            <w:shd w:fill="1A2230"/>
            <w:tcMar>
              <w:top w:w="130" w:type="dxa"/>
              <w:start w:w="110" w:type="dxa"/>
              <w:bottom w:w="130" w:type="dxa"/>
              <w:end w:w="110" w:type="dxa"/>
            </w:tcMar>
          </w:tcPr>
          <w:p>
            <w:pPr>
              <w:spacing w:after="40"/>
              <w:jc w:val="center"/>
            </w:pPr>
            <w:r/>
            <w:r>
              <w:rPr>
                <w:rFonts w:ascii="Aptos" w:hAnsi="Aptos" w:eastAsia="Aptos"/>
                <w:b/>
                <w:color w:val="FFFFFF"/>
                <w:sz w:val="16"/>
              </w:rPr>
              <w:t>AIRFLOW</w:t>
            </w:r>
          </w:p>
          <w:p>
            <w:pPr>
              <w:spacing w:after="0"/>
              <w:jc w:val="center"/>
            </w:pPr>
            <w:r>
              <w:rPr>
                <w:rFonts w:ascii="Aptos" w:hAnsi="Aptos" w:eastAsia="Aptos"/>
                <w:color w:val="B7C2CE"/>
                <w:sz w:val="14"/>
              </w:rPr>
              <w:t>6 tâches</w:t>
            </w:r>
          </w:p>
        </w:tc>
        <w:tc>
          <w:tcPr>
            <w:tcW w:type="dxa" w:w="1481"/>
            <w:shd w:fill="111722"/>
            <w:tcMar>
              <w:top w:w="130" w:type="dxa"/>
              <w:start w:w="110" w:type="dxa"/>
              <w:bottom w:w="130" w:type="dxa"/>
              <w:end w:w="110" w:type="dxa"/>
            </w:tcMar>
          </w:tcPr>
          <w:p>
            <w:pPr>
              <w:spacing w:after="40"/>
              <w:jc w:val="center"/>
            </w:pPr>
            <w:r/>
            <w:r>
              <w:rPr>
                <w:rFonts w:ascii="Aptos" w:hAnsi="Aptos" w:eastAsia="Aptos"/>
                <w:b/>
                <w:color w:val="FFFFFF"/>
                <w:sz w:val="16"/>
              </w:rPr>
              <w:t>DBT</w:t>
            </w:r>
          </w:p>
          <w:p>
            <w:pPr>
              <w:spacing w:after="0"/>
              <w:jc w:val="center"/>
            </w:pPr>
            <w:r>
              <w:rPr>
                <w:rFonts w:ascii="Aptos" w:hAnsi="Aptos" w:eastAsia="Aptos"/>
                <w:color w:val="B7C2CE"/>
                <w:sz w:val="14"/>
              </w:rPr>
              <w:t>19 modèles</w:t>
            </w:r>
          </w:p>
        </w:tc>
        <w:tc>
          <w:tcPr>
            <w:tcW w:type="dxa" w:w="1481"/>
            <w:shd w:fill="1A2230"/>
            <w:tcMar>
              <w:top w:w="130" w:type="dxa"/>
              <w:start w:w="110" w:type="dxa"/>
              <w:bottom w:w="130" w:type="dxa"/>
              <w:end w:w="110" w:type="dxa"/>
            </w:tcMar>
          </w:tcPr>
          <w:p>
            <w:pPr>
              <w:spacing w:after="40"/>
              <w:jc w:val="center"/>
            </w:pPr>
            <w:r/>
            <w:r>
              <w:rPr>
                <w:rFonts w:ascii="Aptos" w:hAnsi="Aptos" w:eastAsia="Aptos"/>
                <w:b/>
                <w:color w:val="FFFFFF"/>
                <w:sz w:val="16"/>
              </w:rPr>
              <w:t>MARTS</w:t>
            </w:r>
          </w:p>
          <w:p>
            <w:pPr>
              <w:spacing w:after="0"/>
              <w:jc w:val="center"/>
            </w:pPr>
            <w:r>
              <w:rPr>
                <w:rFonts w:ascii="Aptos" w:hAnsi="Aptos" w:eastAsia="Aptos"/>
                <w:color w:val="B7C2CE"/>
                <w:sz w:val="14"/>
              </w:rPr>
              <w:t>KPI · ATP · RFM</w:t>
            </w:r>
          </w:p>
        </w:tc>
      </w:tr>
    </w:tbl>
    <w:p>
      <w:pPr>
        <w:spacing w:after="0"/>
      </w:pPr>
    </w:p>
    <w:p>
      <w:pPr>
        <w:spacing w:after="140" w:line="269" w:lineRule="auto"/>
      </w:pPr>
      <w:r>
        <w:rPr>
          <w:rFonts w:ascii="Aptos" w:hAnsi="Aptos" w:eastAsia="Aptos"/>
          <w:color w:val="1E2631"/>
          <w:sz w:val="18"/>
        </w:rPr>
        <w:t>LocalStack émule les API AWS ; DuckDB exécute dbt ; SQLite fournit un oracle de contrôle indépendant. La cible remplace ces adapters par AWS et Snowflake sans déplacer les règles métier hors de dbt ni changer l’ordre du DAG.</w:t>
      </w:r>
    </w:p>
    <w:tbl>
      <w:tblPr>
        <w:tblStyle w:val="TableGrid"/>
        <w:tblW w:type="auto" w:w="0"/>
        <w:jc w:val="center"/>
        <w:tblLayout w:type="fixed"/>
        <w:tblLook w:firstColumn="1" w:firstRow="1" w:lastColumn="0" w:lastRow="0" w:noHBand="0" w:noVBand="1" w:val="04A0"/>
      </w:tblPr>
      <w:tblGrid>
        <w:gridCol w:w="2592"/>
        <w:gridCol w:w="2592"/>
        <w:gridCol w:w="2592"/>
        <w:gridCol w:w="2592"/>
      </w:tblGrid>
      <w:tr>
        <w:trPr>
          <w:tblHeader w:val="true"/>
          <w:cantSplit/>
        </w:trPr>
        <w:tc>
          <w:tcPr>
            <w:tcW w:type="dxa" w:w="1360"/>
            <w:shd w:fill="111722"/>
            <w:vAlign w:val="center"/>
            <w:tcMar>
              <w:top w:w="90" w:type="dxa"/>
              <w:start w:w="110" w:type="dxa"/>
              <w:bottom w:w="90" w:type="dxa"/>
              <w:end w:w="110" w:type="dxa"/>
            </w:tcMar>
          </w:tcPr>
          <w:p>
            <w:pPr>
              <w:spacing w:after="0" w:before="0" w:line="247" w:lineRule="auto"/>
            </w:pPr>
            <w:r/>
            <w:r>
              <w:rPr>
                <w:rFonts w:ascii="Aptos" w:hAnsi="Aptos" w:eastAsia="Aptos"/>
                <w:b/>
                <w:color w:val="FFFFFF"/>
                <w:sz w:val="15"/>
              </w:rPr>
              <w:t>BRIQUE</w:t>
            </w:r>
          </w:p>
        </w:tc>
        <w:tc>
          <w:tcPr>
            <w:tcW w:type="dxa" w:w="2664"/>
            <w:shd w:fill="111722"/>
            <w:vAlign w:val="center"/>
            <w:tcMar>
              <w:top w:w="90" w:type="dxa"/>
              <w:start w:w="110" w:type="dxa"/>
              <w:bottom w:w="90" w:type="dxa"/>
              <w:end w:w="110" w:type="dxa"/>
            </w:tcMar>
          </w:tcPr>
          <w:p>
            <w:pPr>
              <w:spacing w:after="0" w:before="0" w:line="247" w:lineRule="auto"/>
            </w:pPr>
            <w:r/>
            <w:r>
              <w:rPr>
                <w:rFonts w:ascii="Aptos" w:hAnsi="Aptos" w:eastAsia="Aptos"/>
                <w:b/>
                <w:color w:val="FFFFFF"/>
                <w:sz w:val="15"/>
              </w:rPr>
              <w:t>RESPONSABILITÉ</w:t>
            </w:r>
          </w:p>
        </w:tc>
        <w:tc>
          <w:tcPr>
            <w:tcW w:type="dxa" w:w="2438"/>
            <w:shd w:fill="111722"/>
            <w:vAlign w:val="center"/>
            <w:tcMar>
              <w:top w:w="90" w:type="dxa"/>
              <w:start w:w="110" w:type="dxa"/>
              <w:bottom w:w="90" w:type="dxa"/>
              <w:end w:w="110" w:type="dxa"/>
            </w:tcMar>
          </w:tcPr>
          <w:p>
            <w:pPr>
              <w:spacing w:after="0" w:before="0" w:line="247" w:lineRule="auto"/>
            </w:pPr>
            <w:r/>
            <w:r>
              <w:rPr>
                <w:rFonts w:ascii="Aptos" w:hAnsi="Aptos" w:eastAsia="Aptos"/>
                <w:b/>
                <w:color w:val="FFFFFF"/>
                <w:sz w:val="15"/>
              </w:rPr>
              <w:t>PREUVE LOCALE</w:t>
            </w:r>
          </w:p>
        </w:tc>
        <w:tc>
          <w:tcPr>
            <w:tcW w:type="dxa" w:w="2948"/>
            <w:shd w:fill="111722"/>
            <w:vAlign w:val="center"/>
            <w:tcMar>
              <w:top w:w="90" w:type="dxa"/>
              <w:start w:w="110" w:type="dxa"/>
              <w:bottom w:w="90" w:type="dxa"/>
              <w:end w:w="110" w:type="dxa"/>
            </w:tcMar>
          </w:tcPr>
          <w:p>
            <w:pPr>
              <w:spacing w:after="0" w:before="0" w:line="247" w:lineRule="auto"/>
            </w:pPr>
            <w:r/>
            <w:r>
              <w:rPr>
                <w:rFonts w:ascii="Aptos" w:hAnsi="Aptos" w:eastAsia="Aptos"/>
                <w:b/>
                <w:color w:val="FFFFFF"/>
                <w:sz w:val="15"/>
              </w:rPr>
              <w:t>CIBLE</w:t>
            </w:r>
          </w:p>
        </w:tc>
      </w:tr>
      <w:tr>
        <w:trPr>
          <w:cantSplit/>
        </w:trPr>
        <w:tc>
          <w:tcPr>
            <w:tcW w:type="dxa" w:w="1360"/>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Airbyte</w:t>
            </w:r>
          </w:p>
        </w:tc>
        <w:tc>
          <w:tcPr>
            <w:tcW w:type="dxa" w:w="2664"/>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catalogue et lecture source</w:t>
            </w:r>
          </w:p>
        </w:tc>
        <w:tc>
          <w:tcPr>
            <w:tcW w:type="dxa" w:w="2438"/>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protocole JSONL</w:t>
            </w:r>
          </w:p>
        </w:tc>
        <w:tc>
          <w:tcPr>
            <w:tcW w:type="dxa" w:w="2948"/>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connecteurs CRM/ERP/PLM</w:t>
            </w:r>
          </w:p>
        </w:tc>
      </w:tr>
      <w:tr>
        <w:trPr>
          <w:cantSplit/>
        </w:trPr>
        <w:tc>
          <w:tcPr>
            <w:tcW w:type="dxa" w:w="1360"/>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S3</w:t>
            </w:r>
          </w:p>
        </w:tc>
        <w:tc>
          <w:tcPr>
            <w:tcW w:type="dxa" w:w="2664"/>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zone Raw historisable</w:t>
            </w:r>
          </w:p>
        </w:tc>
        <w:tc>
          <w:tcPr>
            <w:tcW w:type="dxa" w:w="2438"/>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8 objets LocalStack</w:t>
            </w:r>
          </w:p>
        </w:tc>
        <w:tc>
          <w:tcPr>
            <w:tcW w:type="dxa" w:w="2948"/>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bucket privé et lifecycle</w:t>
            </w:r>
          </w:p>
        </w:tc>
      </w:tr>
      <w:tr>
        <w:trPr>
          <w:cantSplit/>
        </w:trPr>
        <w:tc>
          <w:tcPr>
            <w:tcW w:type="dxa" w:w="1360"/>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Lambda</w:t>
            </w:r>
          </w:p>
        </w:tc>
        <w:tc>
          <w:tcPr>
            <w:tcW w:type="dxa" w:w="2664"/>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contrat événementiel</w:t>
            </w:r>
          </w:p>
        </w:tc>
        <w:tc>
          <w:tcPr>
            <w:tcW w:type="dxa" w:w="2438"/>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3 160 validations</w:t>
            </w:r>
          </w:p>
        </w:tc>
        <w:tc>
          <w:tcPr>
            <w:tcW w:type="dxa" w:w="2948"/>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fonction Python 3.12</w:t>
            </w:r>
          </w:p>
        </w:tc>
      </w:tr>
      <w:tr>
        <w:trPr>
          <w:cantSplit/>
        </w:trPr>
        <w:tc>
          <w:tcPr>
            <w:tcW w:type="dxa" w:w="1360"/>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Kinesis</w:t>
            </w:r>
          </w:p>
        </w:tc>
        <w:tc>
          <w:tcPr>
            <w:tcW w:type="dxa" w:w="2664"/>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ingestion événementielle</w:t>
            </w:r>
          </w:p>
        </w:tc>
        <w:tc>
          <w:tcPr>
            <w:tcW w:type="dxa" w:w="2438"/>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écriture et relecture</w:t>
            </w:r>
          </w:p>
        </w:tc>
        <w:tc>
          <w:tcPr>
            <w:tcW w:type="dxa" w:w="2948"/>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stream chiffré</w:t>
            </w:r>
          </w:p>
        </w:tc>
      </w:tr>
      <w:tr>
        <w:trPr>
          <w:cantSplit/>
        </w:trPr>
        <w:tc>
          <w:tcPr>
            <w:tcW w:type="dxa" w:w="1360"/>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Airflow</w:t>
            </w:r>
          </w:p>
        </w:tc>
        <w:tc>
          <w:tcPr>
            <w:tcW w:type="dxa" w:w="2664"/>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ordre, reprise, SLA</w:t>
            </w:r>
          </w:p>
        </w:tc>
        <w:tc>
          <w:tcPr>
            <w:tcW w:type="dxa" w:w="2438"/>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version 3.3.1</w:t>
            </w:r>
          </w:p>
        </w:tc>
        <w:tc>
          <w:tcPr>
            <w:tcW w:type="dxa" w:w="2948"/>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MWAA ou service supervisé</w:t>
            </w:r>
          </w:p>
        </w:tc>
      </w:tr>
      <w:tr>
        <w:trPr>
          <w:cantSplit/>
        </w:trPr>
        <w:tc>
          <w:tcPr>
            <w:tcW w:type="dxa" w:w="1360"/>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dbt</w:t>
            </w:r>
          </w:p>
        </w:tc>
        <w:tc>
          <w:tcPr>
            <w:tcW w:type="dxa" w:w="2664"/>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transformations et tests</w:t>
            </w:r>
          </w:p>
        </w:tc>
        <w:tc>
          <w:tcPr>
            <w:tcW w:type="dxa" w:w="2438"/>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DuckDB</w:t>
            </w:r>
          </w:p>
        </w:tc>
        <w:tc>
          <w:tcPr>
            <w:tcW w:type="dxa" w:w="2948"/>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Snowflake</w:t>
            </w:r>
          </w:p>
        </w:tc>
      </w:tr>
      <w:tr>
        <w:trPr>
          <w:cantSplit/>
        </w:trPr>
        <w:tc>
          <w:tcPr>
            <w:tcW w:type="dxa" w:w="1360"/>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CloudWatch</w:t>
            </w:r>
          </w:p>
        </w:tc>
        <w:tc>
          <w:tcPr>
            <w:tcW w:type="dxa" w:w="2664"/>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métriques et alertes</w:t>
            </w:r>
          </w:p>
        </w:tc>
        <w:tc>
          <w:tcPr>
            <w:tcW w:type="dxa" w:w="2438"/>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3 métriques + alarme</w:t>
            </w:r>
          </w:p>
        </w:tc>
        <w:tc>
          <w:tcPr>
            <w:tcW w:type="dxa" w:w="2948"/>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SLO et astreinte</w:t>
            </w:r>
          </w:p>
        </w:tc>
      </w:tr>
    </w:tbl>
    <w:p>
      <w:pPr>
        <w:spacing w:after="0"/>
      </w:pPr>
    </w:p>
    <w:p>
      <w:pPr>
        <w:pStyle w:val="Heading2"/>
      </w:pPr>
      <w:r>
        <w:t>Principes structurants</w:t>
      </w:r>
    </w:p>
    <w:p>
      <w:pPr>
        <w:pStyle w:val="ListBullet"/>
        <w:spacing w:after="50" w:line="252" w:lineRule="auto"/>
        <w:ind w:left="272" w:hanging="136"/>
      </w:pPr>
      <w:r>
        <w:rPr>
          <w:rFonts w:ascii="Aptos" w:hAnsi="Aptos" w:eastAsia="Aptos"/>
          <w:color w:val="1E2631"/>
          <w:sz w:val="18"/>
        </w:rPr>
        <w:t>order_id, transaction_id et event_id sont uniques ; event_id est la clé d’idempotence.</w:t>
      </w:r>
    </w:p>
    <w:p>
      <w:pPr>
        <w:pStyle w:val="ListBullet"/>
        <w:spacing w:after="50" w:line="252" w:lineRule="auto"/>
        <w:ind w:left="272" w:hanging="136"/>
      </w:pPr>
      <w:r>
        <w:rPr>
          <w:rFonts w:ascii="Aptos" w:hAnsi="Aptos" w:eastAsia="Aptos"/>
          <w:color w:val="1E2631"/>
          <w:sz w:val="18"/>
        </w:rPr>
        <w:t>source_customer_id partitionne le flux avant la résolution du Golden Record.</w:t>
      </w:r>
    </w:p>
    <w:p>
      <w:pPr>
        <w:pStyle w:val="ListBullet"/>
        <w:spacing w:after="50" w:line="252" w:lineRule="auto"/>
        <w:ind w:left="272" w:hanging="136"/>
      </w:pPr>
      <w:r>
        <w:rPr>
          <w:rFonts w:ascii="Aptos" w:hAnsi="Aptos" w:eastAsia="Aptos"/>
          <w:color w:val="1E2631"/>
          <w:sz w:val="18"/>
        </w:rPr>
        <w:t>Les faits lourds utilisent un merge incrémental.</w:t>
      </w:r>
    </w:p>
    <w:p>
      <w:pPr>
        <w:pStyle w:val="ListBullet"/>
        <w:spacing w:after="50" w:line="252" w:lineRule="auto"/>
        <w:ind w:left="272" w:hanging="136"/>
      </w:pPr>
      <w:r>
        <w:rPr>
          <w:rFonts w:ascii="Aptos" w:hAnsi="Aptos" w:eastAsia="Aptos"/>
          <w:color w:val="1E2631"/>
          <w:sz w:val="18"/>
        </w:rPr>
        <w:t>Le publishing gate est fermé par défaut en cas d’écart ou d’échec.</w:t>
      </w:r>
    </w:p>
    <w:p>
      <w:pPr>
        <w:pStyle w:val="ListBullet"/>
        <w:spacing w:after="50" w:line="252" w:lineRule="auto"/>
        <w:ind w:left="272" w:hanging="136"/>
      </w:pPr>
      <w:r>
        <w:rPr>
          <w:rFonts w:ascii="Aptos" w:hAnsi="Aptos" w:eastAsia="Aptos"/>
          <w:color w:val="1E2631"/>
          <w:sz w:val="18"/>
        </w:rPr>
        <w:t>La sécurité locale interdit un endpoint AWS réel sans autorisation explicite.</w:t>
      </w:r>
    </w:p>
    <w:p>
      <w:r>
        <w:br w:type="page"/>
      </w:r>
    </w:p>
    <w:p>
      <w:pPr>
        <w:keepNext/>
        <w:spacing w:after="40"/>
      </w:pPr>
      <w:r>
        <w:rPr>
          <w:rFonts w:ascii="Aptos" w:hAnsi="Aptos" w:eastAsia="Aptos"/>
          <w:b/>
          <w:color w:val="E9684A"/>
          <w:sz w:val="16"/>
        </w:rPr>
        <w:t>04</w:t>
      </w:r>
    </w:p>
    <w:p>
      <w:pPr>
        <w:pStyle w:val="Title"/>
        <w:keepNext/>
        <w:spacing w:after="80"/>
      </w:pPr>
      <w:r>
        <w:rPr>
          <w:rFonts w:ascii="Aptos Display" w:hAnsi="Aptos Display" w:eastAsia="Aptos Display"/>
          <w:b/>
          <w:color w:val="111722"/>
          <w:sz w:val="44"/>
        </w:rPr>
        <w:t>Orchestration Airflow</w:t>
      </w:r>
    </w:p>
    <w:p>
      <w:pPr>
        <w:pStyle w:val="Subtitle"/>
        <w:spacing w:after="220"/>
      </w:pPr>
      <w:r>
        <w:t>Une exécution réelle, ordonnée et reprenable</w:t>
      </w:r>
    </w:p>
    <w:tbl>
      <w:tblPr>
        <w:tblStyle w:val="TableGrid"/>
        <w:tblW w:type="auto" w:w="0"/>
        <w:jc w:val="center"/>
        <w:tblLayout w:type="fixed"/>
        <w:tblLook w:firstColumn="1" w:firstRow="1" w:lastColumn="0" w:lastRow="0" w:noHBand="0" w:noVBand="1" w:val="04A0"/>
      </w:tblPr>
      <w:tblGrid>
        <w:gridCol w:w="2592"/>
        <w:gridCol w:w="2592"/>
        <w:gridCol w:w="2592"/>
        <w:gridCol w:w="2592"/>
      </w:tblGrid>
      <w:tr>
        <w:trPr>
          <w:tblHeader w:val="true"/>
          <w:cantSplit/>
        </w:trPr>
        <w:tc>
          <w:tcPr>
            <w:tcW w:type="dxa" w:w="453"/>
            <w:shd w:fill="111722"/>
            <w:vAlign w:val="center"/>
            <w:tcMar>
              <w:top w:w="90" w:type="dxa"/>
              <w:start w:w="110" w:type="dxa"/>
              <w:bottom w:w="90" w:type="dxa"/>
              <w:end w:w="110" w:type="dxa"/>
            </w:tcMar>
          </w:tcPr>
          <w:p>
            <w:pPr>
              <w:spacing w:after="0" w:before="0" w:line="247" w:lineRule="auto"/>
            </w:pPr>
            <w:r/>
            <w:r>
              <w:rPr>
                <w:rFonts w:ascii="Aptos" w:hAnsi="Aptos" w:eastAsia="Aptos"/>
                <w:b/>
                <w:color w:val="FFFFFF"/>
                <w:sz w:val="15"/>
              </w:rPr>
              <w:t>#</w:t>
            </w:r>
          </w:p>
        </w:tc>
        <w:tc>
          <w:tcPr>
            <w:tcW w:type="dxa" w:w="2268"/>
            <w:shd w:fill="111722"/>
            <w:vAlign w:val="center"/>
            <w:tcMar>
              <w:top w:w="90" w:type="dxa"/>
              <w:start w:w="110" w:type="dxa"/>
              <w:bottom w:w="90" w:type="dxa"/>
              <w:end w:w="110" w:type="dxa"/>
            </w:tcMar>
          </w:tcPr>
          <w:p>
            <w:pPr>
              <w:spacing w:after="0" w:before="0" w:line="247" w:lineRule="auto"/>
            </w:pPr>
            <w:r/>
            <w:r>
              <w:rPr>
                <w:rFonts w:ascii="Aptos" w:hAnsi="Aptos" w:eastAsia="Aptos"/>
                <w:b/>
                <w:color w:val="FFFFFF"/>
                <w:sz w:val="15"/>
              </w:rPr>
              <w:t>TÂCHE</w:t>
            </w:r>
          </w:p>
        </w:tc>
        <w:tc>
          <w:tcPr>
            <w:tcW w:type="dxa" w:w="4082"/>
            <w:shd w:fill="111722"/>
            <w:vAlign w:val="center"/>
            <w:tcMar>
              <w:top w:w="90" w:type="dxa"/>
              <w:start w:w="110" w:type="dxa"/>
              <w:bottom w:w="90" w:type="dxa"/>
              <w:end w:w="110" w:type="dxa"/>
            </w:tcMar>
          </w:tcPr>
          <w:p>
            <w:pPr>
              <w:spacing w:after="0" w:before="0" w:line="247" w:lineRule="auto"/>
            </w:pPr>
            <w:r/>
            <w:r>
              <w:rPr>
                <w:rFonts w:ascii="Aptos" w:hAnsi="Aptos" w:eastAsia="Aptos"/>
                <w:b/>
                <w:color w:val="FFFFFF"/>
                <w:sz w:val="15"/>
              </w:rPr>
              <w:t>RESPONSABILITÉ</w:t>
            </w:r>
          </w:p>
        </w:tc>
        <w:tc>
          <w:tcPr>
            <w:tcW w:type="dxa" w:w="2608"/>
            <w:shd w:fill="111722"/>
            <w:vAlign w:val="center"/>
            <w:tcMar>
              <w:top w:w="90" w:type="dxa"/>
              <w:start w:w="110" w:type="dxa"/>
              <w:bottom w:w="90" w:type="dxa"/>
              <w:end w:w="110" w:type="dxa"/>
            </w:tcMar>
          </w:tcPr>
          <w:p>
            <w:pPr>
              <w:spacing w:after="0" w:before="0" w:line="247" w:lineRule="auto"/>
            </w:pPr>
            <w:r/>
            <w:r>
              <w:rPr>
                <w:rFonts w:ascii="Aptos" w:hAnsi="Aptos" w:eastAsia="Aptos"/>
                <w:b/>
                <w:color w:val="FFFFFF"/>
                <w:sz w:val="15"/>
              </w:rPr>
              <w:t>SORTIE CONTRÔLÉE</w:t>
            </w:r>
          </w:p>
        </w:tc>
      </w:tr>
      <w:tr>
        <w:trPr>
          <w:cantSplit/>
        </w:trPr>
        <w:tc>
          <w:tcPr>
            <w:tcW w:type="dxa" w:w="453"/>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1</w:t>
            </w:r>
          </w:p>
        </w:tc>
        <w:tc>
          <w:tcPr>
            <w:tcW w:type="dxa" w:w="2268"/>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extract_sources</w:t>
            </w:r>
          </w:p>
        </w:tc>
        <w:tc>
          <w:tcPr>
            <w:tcW w:type="dxa" w:w="4082"/>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génération + contrat Airbyte</w:t>
            </w:r>
          </w:p>
        </w:tc>
        <w:tc>
          <w:tcPr>
            <w:tcW w:type="dxa" w:w="2608"/>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8 flux · 5 928 lignes</w:t>
            </w:r>
          </w:p>
        </w:tc>
      </w:tr>
      <w:tr>
        <w:trPr>
          <w:cantSplit/>
        </w:trPr>
        <w:tc>
          <w:tcPr>
            <w:tcW w:type="dxa" w:w="453"/>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2</w:t>
            </w:r>
          </w:p>
        </w:tc>
        <w:tc>
          <w:tcPr>
            <w:tcW w:type="dxa" w:w="2268"/>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stage_local_aws</w:t>
            </w:r>
          </w:p>
        </w:tc>
        <w:tc>
          <w:tcPr>
            <w:tcW w:type="dxa" w:w="4082"/>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S3, validation, Kinesis, CloudWatch</w:t>
            </w:r>
          </w:p>
        </w:tc>
        <w:tc>
          <w:tcPr>
            <w:tcW w:type="dxa" w:w="2608"/>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3 160 événements · 0 échec</w:t>
            </w:r>
          </w:p>
        </w:tc>
      </w:tr>
      <w:tr>
        <w:trPr>
          <w:cantSplit/>
        </w:trPr>
        <w:tc>
          <w:tcPr>
            <w:tcW w:type="dxa" w:w="453"/>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3</w:t>
            </w:r>
          </w:p>
        </w:tc>
        <w:tc>
          <w:tcPr>
            <w:tcW w:type="dxa" w:w="2268"/>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build_reference_warehouse</w:t>
            </w:r>
          </w:p>
        </w:tc>
        <w:tc>
          <w:tcPr>
            <w:tcW w:type="dxa" w:w="4082"/>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oracle SQLite + qualité</w:t>
            </w:r>
          </w:p>
        </w:tc>
        <w:tc>
          <w:tcPr>
            <w:tcW w:type="dxa" w:w="2608"/>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24 contrôles</w:t>
            </w:r>
          </w:p>
        </w:tc>
      </w:tr>
      <w:tr>
        <w:trPr>
          <w:cantSplit/>
        </w:trPr>
        <w:tc>
          <w:tcPr>
            <w:tcW w:type="dxa" w:w="453"/>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4</w:t>
            </w:r>
          </w:p>
        </w:tc>
        <w:tc>
          <w:tcPr>
            <w:tcW w:type="dxa" w:w="2268"/>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dbt_build</w:t>
            </w:r>
          </w:p>
        </w:tc>
        <w:tc>
          <w:tcPr>
            <w:tcW w:type="dxa" w:w="4082"/>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modèles, tests et snapshot</w:t>
            </w:r>
          </w:p>
        </w:tc>
        <w:tc>
          <w:tcPr>
            <w:tcW w:type="dxa" w:w="2608"/>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19 · 78 · 1</w:t>
            </w:r>
          </w:p>
        </w:tc>
      </w:tr>
      <w:tr>
        <w:trPr>
          <w:cantSplit/>
        </w:trPr>
        <w:tc>
          <w:tcPr>
            <w:tcW w:type="dxa" w:w="453"/>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5</w:t>
            </w:r>
          </w:p>
        </w:tc>
        <w:tc>
          <w:tcPr>
            <w:tcW w:type="dxa" w:w="2268"/>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reconcile_platform</w:t>
            </w:r>
          </w:p>
        </w:tc>
        <w:tc>
          <w:tcPr>
            <w:tcW w:type="dxa" w:w="4082"/>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statuts + deux rapprochements</w:t>
            </w:r>
          </w:p>
        </w:tc>
        <w:tc>
          <w:tcPr>
            <w:tcW w:type="dxa" w:w="2608"/>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0 unité · 0,00 €</w:t>
            </w:r>
          </w:p>
        </w:tc>
      </w:tr>
      <w:tr>
        <w:trPr>
          <w:cantSplit/>
        </w:trPr>
        <w:tc>
          <w:tcPr>
            <w:tcW w:type="dxa" w:w="453"/>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6</w:t>
            </w:r>
          </w:p>
        </w:tc>
        <w:tc>
          <w:tcPr>
            <w:tcW w:type="dxa" w:w="2268"/>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publish_kpis</w:t>
            </w:r>
          </w:p>
        </w:tc>
        <w:tc>
          <w:tcPr>
            <w:tcW w:type="dxa" w:w="4082"/>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manifeste et SLA</w:t>
            </w:r>
          </w:p>
        </w:tc>
        <w:tc>
          <w:tcPr>
            <w:tcW w:type="dxa" w:w="2608"/>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PUBLISHED</w:t>
            </w:r>
          </w:p>
        </w:tc>
      </w:tr>
    </w:tbl>
    <w:p>
      <w:pPr>
        <w:spacing w:after="0"/>
      </w:pPr>
    </w:p>
    <w:p>
      <w:pPr>
        <w:pStyle w:val="Heading2"/>
      </w:pPr>
      <w:r>
        <w:t>Paramètres d’exploitation</w:t>
      </w:r>
    </w:p>
    <w:tbl>
      <w:tblPr>
        <w:tblStyle w:val="TableGrid"/>
        <w:tblW w:type="auto" w:w="0"/>
        <w:jc w:val="center"/>
        <w:tblLayout w:type="fixed"/>
        <w:tblLook w:firstColumn="1" w:firstRow="1" w:lastColumn="0" w:lastRow="0" w:noHBand="0" w:noVBand="1" w:val="04A0"/>
      </w:tblPr>
      <w:tblGrid>
        <w:gridCol w:w="3457"/>
        <w:gridCol w:w="3457"/>
        <w:gridCol w:w="3457"/>
      </w:tblGrid>
      <w:tr>
        <w:trPr>
          <w:tblHeader w:val="true"/>
          <w:cantSplit/>
        </w:trPr>
        <w:tc>
          <w:tcPr>
            <w:tcW w:type="dxa" w:w="1814"/>
            <w:shd w:fill="111722"/>
            <w:vAlign w:val="center"/>
            <w:tcMar>
              <w:top w:w="90" w:type="dxa"/>
              <w:start w:w="110" w:type="dxa"/>
              <w:bottom w:w="90" w:type="dxa"/>
              <w:end w:w="110" w:type="dxa"/>
            </w:tcMar>
          </w:tcPr>
          <w:p>
            <w:pPr>
              <w:spacing w:after="0" w:before="0" w:line="247" w:lineRule="auto"/>
            </w:pPr>
            <w:r/>
            <w:r>
              <w:rPr>
                <w:rFonts w:ascii="Aptos" w:hAnsi="Aptos" w:eastAsia="Aptos"/>
                <w:b/>
                <w:color w:val="FFFFFF"/>
                <w:sz w:val="15"/>
              </w:rPr>
              <w:t>PARAMÈTRE</w:t>
            </w:r>
          </w:p>
        </w:tc>
        <w:tc>
          <w:tcPr>
            <w:tcW w:type="dxa" w:w="2381"/>
            <w:shd w:fill="111722"/>
            <w:vAlign w:val="center"/>
            <w:tcMar>
              <w:top w:w="90" w:type="dxa"/>
              <w:start w:w="110" w:type="dxa"/>
              <w:bottom w:w="90" w:type="dxa"/>
              <w:end w:w="110" w:type="dxa"/>
            </w:tcMar>
          </w:tcPr>
          <w:p>
            <w:pPr>
              <w:spacing w:after="0" w:before="0" w:line="247" w:lineRule="auto"/>
            </w:pPr>
            <w:r/>
            <w:r>
              <w:rPr>
                <w:rFonts w:ascii="Aptos" w:hAnsi="Aptos" w:eastAsia="Aptos"/>
                <w:b/>
                <w:color w:val="FFFFFF"/>
                <w:sz w:val="15"/>
              </w:rPr>
              <w:t>VALEUR</w:t>
            </w:r>
          </w:p>
        </w:tc>
        <w:tc>
          <w:tcPr>
            <w:tcW w:type="dxa" w:w="5216"/>
            <w:shd w:fill="111722"/>
            <w:vAlign w:val="center"/>
            <w:tcMar>
              <w:top w:w="90" w:type="dxa"/>
              <w:start w:w="110" w:type="dxa"/>
              <w:bottom w:w="90" w:type="dxa"/>
              <w:end w:w="110" w:type="dxa"/>
            </w:tcMar>
          </w:tcPr>
          <w:p>
            <w:pPr>
              <w:spacing w:after="0" w:before="0" w:line="247" w:lineRule="auto"/>
            </w:pPr>
            <w:r/>
            <w:r>
              <w:rPr>
                <w:rFonts w:ascii="Aptos" w:hAnsi="Aptos" w:eastAsia="Aptos"/>
                <w:b/>
                <w:color w:val="FFFFFF"/>
                <w:sz w:val="15"/>
              </w:rPr>
              <w:t>POURQUOI</w:t>
            </w:r>
          </w:p>
        </w:tc>
      </w:tr>
      <w:tr>
        <w:trPr>
          <w:cantSplit/>
        </w:trPr>
        <w:tc>
          <w:tcPr>
            <w:tcW w:type="dxa" w:w="1814"/>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Planification</w:t>
            </w:r>
          </w:p>
        </w:tc>
        <w:tc>
          <w:tcPr>
            <w:tcW w:type="dxa" w:w="2381"/>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05:15 Europe/Paris</w:t>
            </w:r>
          </w:p>
        </w:tc>
        <w:tc>
          <w:tcPr>
            <w:tcW w:type="dxa" w:w="5216"/>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fenêtre de reprise avant le SLA 08:00</w:t>
            </w:r>
          </w:p>
        </w:tc>
      </w:tr>
      <w:tr>
        <w:trPr>
          <w:cantSplit/>
        </w:trPr>
        <w:tc>
          <w:tcPr>
            <w:tcW w:type="dxa" w:w="1814"/>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Retries</w:t>
            </w:r>
          </w:p>
        </w:tc>
        <w:tc>
          <w:tcPr>
            <w:tcW w:type="dxa" w:w="2381"/>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2 × 5 minutes</w:t>
            </w:r>
          </w:p>
        </w:tc>
        <w:tc>
          <w:tcPr>
            <w:tcW w:type="dxa" w:w="5216"/>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absorber une erreur temporaire</w:t>
            </w:r>
          </w:p>
        </w:tc>
      </w:tr>
      <w:tr>
        <w:trPr>
          <w:cantSplit/>
        </w:trPr>
        <w:tc>
          <w:tcPr>
            <w:tcW w:type="dxa" w:w="1814"/>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Runs actifs</w:t>
            </w:r>
          </w:p>
        </w:tc>
        <w:tc>
          <w:tcPr>
            <w:tcW w:type="dxa" w:w="2381"/>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1</w:t>
            </w:r>
          </w:p>
        </w:tc>
        <w:tc>
          <w:tcPr>
            <w:tcW w:type="dxa" w:w="5216"/>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éviter les écritures concurrentes</w:t>
            </w:r>
          </w:p>
        </w:tc>
      </w:tr>
      <w:tr>
        <w:trPr>
          <w:cantSplit/>
        </w:trPr>
        <w:tc>
          <w:tcPr>
            <w:tcW w:type="dxa" w:w="1814"/>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Catchup</w:t>
            </w:r>
          </w:p>
        </w:tc>
        <w:tc>
          <w:tcPr>
            <w:tcW w:type="dxa" w:w="2381"/>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désactivé</w:t>
            </w:r>
          </w:p>
        </w:tc>
        <w:tc>
          <w:tcPr>
            <w:tcW w:type="dxa" w:w="5216"/>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rejeu contrôlé dans ce démonstrateur</w:t>
            </w:r>
          </w:p>
        </w:tc>
      </w:tr>
      <w:tr>
        <w:trPr>
          <w:cantSplit/>
        </w:trPr>
        <w:tc>
          <w:tcPr>
            <w:tcW w:type="dxa" w:w="1814"/>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Profil</w:t>
            </w:r>
          </w:p>
        </w:tc>
        <w:tc>
          <w:tcPr>
            <w:tcW w:type="dxa" w:w="2381"/>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Docker standalone</w:t>
            </w:r>
          </w:p>
        </w:tc>
        <w:tc>
          <w:tcPr>
            <w:tcW w:type="dxa" w:w="5216"/>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exécution locale reproductible</w:t>
            </w:r>
          </w:p>
        </w:tc>
      </w:tr>
    </w:tbl>
    <w:p>
      <w:pPr>
        <w:spacing w:after="0"/>
      </w:pPr>
    </w:p>
    <w:tbl>
      <w:tblPr>
        <w:tblW w:type="auto" w:w="0"/>
        <w:jc w:val="center"/>
        <w:tblLayout w:type="fixed"/>
        <w:tblLook w:firstColumn="1" w:firstRow="1" w:lastColumn="0" w:lastRow="0" w:noHBand="0" w:noVBand="1" w:val="04A0"/>
      </w:tblPr>
      <w:tblGrid>
        <w:gridCol w:w="125"/>
        <w:gridCol w:w="9286"/>
      </w:tblGrid>
      <w:tr>
        <w:tc>
          <w:tcPr>
            <w:tcW w:type="dxa" w:w="124"/>
            <w:shd w:fill="E9684A"/>
            <w:tcMar>
              <w:top w:w="0" w:type="dxa"/>
              <w:start w:w="0" w:type="dxa"/>
              <w:bottom w:w="0" w:type="dxa"/>
              <w:end w:w="0" w:type="dxa"/>
            </w:tcMar>
          </w:tcPr>
          <w:p/>
        </w:tc>
        <w:tc>
          <w:tcPr>
            <w:tcW w:type="dxa" w:w="9287"/>
            <w:shd w:fill="FBEDE9"/>
          </w:tcPr>
          <w:p>
            <w:pPr>
              <w:spacing w:after="40"/>
            </w:pPr>
            <w:r/>
            <w:r>
              <w:rPr>
                <w:rFonts w:ascii="Aptos" w:hAnsi="Aptos" w:eastAsia="Aptos"/>
                <w:b/>
                <w:color w:val="111722"/>
                <w:sz w:val="18"/>
              </w:rPr>
              <w:t>Publishing gate</w:t>
            </w:r>
          </w:p>
          <w:p>
            <w:pPr>
              <w:spacing w:after="0" w:line="252" w:lineRule="auto"/>
            </w:pPr>
            <w:r>
              <w:rPr>
                <w:rFonts w:ascii="Aptos" w:hAnsi="Aptos" w:eastAsia="Aptos"/>
                <w:color w:val="5C6876"/>
                <w:sz w:val="17"/>
              </w:rPr>
              <w:t>Une tâche en échec empêche la suite. Le manifeste final n’est écrit que si le modèle Python, dbt, le chemin AWS activé et les deux rapprochements sont conformes.</w:t>
            </w:r>
          </w:p>
        </w:tc>
      </w:tr>
    </w:tbl>
    <w:p>
      <w:pPr>
        <w:spacing w:after="0"/>
      </w:pPr>
    </w:p>
    <w:p>
      <w:pPr>
        <w:pStyle w:val="Heading2"/>
      </w:pPr>
      <w:r>
        <w:t>Exécution testée</w:t>
      </w:r>
    </w:p>
    <w:p>
      <w:pPr>
        <w:spacing w:after="140" w:line="269" w:lineRule="auto"/>
      </w:pPr>
      <w:r>
        <w:rPr>
          <w:rFonts w:ascii="Aptos" w:hAnsi="Aptos" w:eastAsia="Aptos"/>
          <w:color w:val="1E2631"/>
          <w:sz w:val="18"/>
        </w:rPr>
        <w:t>Le DAG a été importé sans erreur puis exécuté de bout en bout dans l’image Airflow. Les valeurs affichées dans le cockpit proviennent des rapports produits par ces étapes ; elles ne sont pas codées dans la vue.</w:t>
      </w:r>
    </w:p>
    <w:p>
      <w:r>
        <w:br w:type="page"/>
      </w:r>
    </w:p>
    <w:p>
      <w:pPr>
        <w:keepNext/>
        <w:spacing w:after="40"/>
      </w:pPr>
      <w:r>
        <w:rPr>
          <w:rFonts w:ascii="Aptos" w:hAnsi="Aptos" w:eastAsia="Aptos"/>
          <w:b/>
          <w:color w:val="E9684A"/>
          <w:sz w:val="16"/>
        </w:rPr>
        <w:t>05</w:t>
      </w:r>
    </w:p>
    <w:p>
      <w:pPr>
        <w:pStyle w:val="Title"/>
        <w:keepNext/>
        <w:spacing w:after="80"/>
      </w:pPr>
      <w:r>
        <w:rPr>
          <w:rFonts w:ascii="Aptos Display" w:hAnsi="Aptos Display" w:eastAsia="Aptos Display"/>
          <w:b/>
          <w:color w:val="111722"/>
          <w:sz w:val="44"/>
        </w:rPr>
        <w:t>Modélisation dbt</w:t>
      </w:r>
    </w:p>
    <w:p>
      <w:pPr>
        <w:pStyle w:val="Subtitle"/>
        <w:spacing w:after="220"/>
      </w:pPr>
      <w:r>
        <w:t>Deux niveaux de preuve et des marts orientés décision</w:t>
      </w:r>
    </w:p>
    <w:tbl>
      <w:tblPr>
        <w:tblW w:type="auto" w:w="0"/>
        <w:jc w:val="center"/>
        <w:tblLayout w:type="fixed"/>
        <w:tblLook w:firstColumn="1" w:firstRow="1" w:lastColumn="0" w:lastRow="0" w:noHBand="0" w:noVBand="1" w:val="04A0"/>
      </w:tblPr>
      <w:tblGrid>
        <w:gridCol w:w="2592"/>
        <w:gridCol w:w="2592"/>
        <w:gridCol w:w="2592"/>
        <w:gridCol w:w="2592"/>
      </w:tblGrid>
      <w:tr>
        <w:tc>
          <w:tcPr>
            <w:tcW w:type="dxa" w:w="2592"/>
            <w:shd w:fill="1A2230"/>
            <w:tcMar>
              <w:top w:w="150" w:type="dxa"/>
              <w:start w:w="110" w:type="dxa"/>
              <w:bottom w:w="150" w:type="dxa"/>
              <w:end w:w="110" w:type="dxa"/>
            </w:tcMar>
          </w:tcPr>
          <w:p>
            <w:pPr>
              <w:spacing w:after="40"/>
              <w:jc w:val="center"/>
            </w:pPr>
            <w:r/>
            <w:r>
              <w:rPr>
                <w:rFonts w:ascii="Aptos Display" w:hAnsi="Aptos Display" w:eastAsia="Aptos Display"/>
                <w:b/>
                <w:color w:val="FFFFFF"/>
                <w:sz w:val="30"/>
              </w:rPr>
              <w:t>8</w:t>
            </w:r>
          </w:p>
          <w:p>
            <w:pPr>
              <w:spacing w:after="0"/>
              <w:jc w:val="center"/>
            </w:pPr>
            <w:r>
              <w:rPr>
                <w:rFonts w:ascii="Aptos" w:hAnsi="Aptos" w:eastAsia="Aptos"/>
                <w:b/>
                <w:color w:val="B0BCC9"/>
                <w:sz w:val="14"/>
              </w:rPr>
              <w:t>STAGING</w:t>
            </w:r>
          </w:p>
        </w:tc>
        <w:tc>
          <w:tcPr>
            <w:tcW w:type="dxa" w:w="2592"/>
            <w:shd w:fill="1A2230"/>
            <w:tcMar>
              <w:top w:w="150" w:type="dxa"/>
              <w:start w:w="110" w:type="dxa"/>
              <w:bottom w:w="150" w:type="dxa"/>
              <w:end w:w="110" w:type="dxa"/>
            </w:tcMar>
          </w:tcPr>
          <w:p>
            <w:pPr>
              <w:spacing w:after="40"/>
              <w:jc w:val="center"/>
            </w:pPr>
            <w:r/>
            <w:r>
              <w:rPr>
                <w:rFonts w:ascii="Aptos Display" w:hAnsi="Aptos Display" w:eastAsia="Aptos Display"/>
                <w:b/>
                <w:color w:val="FFFFFF"/>
                <w:sz w:val="30"/>
              </w:rPr>
              <w:t>1</w:t>
            </w:r>
          </w:p>
          <w:p>
            <w:pPr>
              <w:spacing w:after="0"/>
              <w:jc w:val="center"/>
            </w:pPr>
            <w:r>
              <w:rPr>
                <w:rFonts w:ascii="Aptos" w:hAnsi="Aptos" w:eastAsia="Aptos"/>
                <w:b/>
                <w:color w:val="B0BCC9"/>
                <w:sz w:val="14"/>
              </w:rPr>
              <w:t>INTERMEDIATE</w:t>
            </w:r>
          </w:p>
        </w:tc>
        <w:tc>
          <w:tcPr>
            <w:tcW w:type="dxa" w:w="2592"/>
            <w:shd w:fill="1A2230"/>
            <w:tcMar>
              <w:top w:w="150" w:type="dxa"/>
              <w:start w:w="110" w:type="dxa"/>
              <w:bottom w:w="150" w:type="dxa"/>
              <w:end w:w="110" w:type="dxa"/>
            </w:tcMar>
          </w:tcPr>
          <w:p>
            <w:pPr>
              <w:spacing w:after="40"/>
              <w:jc w:val="center"/>
            </w:pPr>
            <w:r/>
            <w:r>
              <w:rPr>
                <w:rFonts w:ascii="Aptos Display" w:hAnsi="Aptos Display" w:eastAsia="Aptos Display"/>
                <w:b/>
                <w:color w:val="FFFFFF"/>
                <w:sz w:val="30"/>
              </w:rPr>
              <w:t>10</w:t>
            </w:r>
          </w:p>
          <w:p>
            <w:pPr>
              <w:spacing w:after="0"/>
              <w:jc w:val="center"/>
            </w:pPr>
            <w:r>
              <w:rPr>
                <w:rFonts w:ascii="Aptos" w:hAnsi="Aptos" w:eastAsia="Aptos"/>
                <w:b/>
                <w:color w:val="B0BCC9"/>
                <w:sz w:val="14"/>
              </w:rPr>
              <w:t>MARTS</w:t>
            </w:r>
          </w:p>
        </w:tc>
        <w:tc>
          <w:tcPr>
            <w:tcW w:type="dxa" w:w="2592"/>
            <w:shd w:fill="1A2230"/>
            <w:tcMar>
              <w:top w:w="150" w:type="dxa"/>
              <w:start w:w="110" w:type="dxa"/>
              <w:bottom w:w="150" w:type="dxa"/>
              <w:end w:w="110" w:type="dxa"/>
            </w:tcMar>
          </w:tcPr>
          <w:p>
            <w:pPr>
              <w:spacing w:after="40"/>
              <w:jc w:val="center"/>
            </w:pPr>
            <w:r/>
            <w:r>
              <w:rPr>
                <w:rFonts w:ascii="Aptos Display" w:hAnsi="Aptos Display" w:eastAsia="Aptos Display"/>
                <w:b/>
                <w:color w:val="FFFFFF"/>
                <w:sz w:val="30"/>
              </w:rPr>
              <w:t>78</w:t>
            </w:r>
          </w:p>
          <w:p>
            <w:pPr>
              <w:spacing w:after="0"/>
              <w:jc w:val="center"/>
            </w:pPr>
            <w:r>
              <w:rPr>
                <w:rFonts w:ascii="Aptos" w:hAnsi="Aptos" w:eastAsia="Aptos"/>
                <w:b/>
                <w:color w:val="B0BCC9"/>
                <w:sz w:val="14"/>
              </w:rPr>
              <w:t>TESTS</w:t>
            </w:r>
          </w:p>
        </w:tc>
      </w:tr>
    </w:tbl>
    <w:p>
      <w:pPr>
        <w:spacing w:after="0"/>
      </w:pPr>
    </w:p>
    <w:tbl>
      <w:tblPr>
        <w:tblStyle w:val="TableGrid"/>
        <w:tblW w:type="auto" w:w="0"/>
        <w:jc w:val="center"/>
        <w:tblLayout w:type="fixed"/>
        <w:tblLook w:firstColumn="1" w:firstRow="1" w:lastColumn="0" w:lastRow="0" w:noHBand="0" w:noVBand="1" w:val="04A0"/>
      </w:tblPr>
      <w:tblGrid>
        <w:gridCol w:w="3457"/>
        <w:gridCol w:w="3457"/>
        <w:gridCol w:w="3457"/>
      </w:tblGrid>
      <w:tr>
        <w:trPr>
          <w:tblHeader w:val="true"/>
          <w:cantSplit/>
        </w:trPr>
        <w:tc>
          <w:tcPr>
            <w:tcW w:type="dxa" w:w="1530"/>
            <w:shd w:fill="111722"/>
            <w:vAlign w:val="center"/>
            <w:tcMar>
              <w:top w:w="90" w:type="dxa"/>
              <w:start w:w="110" w:type="dxa"/>
              <w:bottom w:w="90" w:type="dxa"/>
              <w:end w:w="110" w:type="dxa"/>
            </w:tcMar>
          </w:tcPr>
          <w:p>
            <w:pPr>
              <w:spacing w:after="0" w:before="0" w:line="247" w:lineRule="auto"/>
            </w:pPr>
            <w:r/>
            <w:r>
              <w:rPr>
                <w:rFonts w:ascii="Aptos" w:hAnsi="Aptos" w:eastAsia="Aptos"/>
                <w:b/>
                <w:color w:val="FFFFFF"/>
                <w:sz w:val="15"/>
              </w:rPr>
              <w:t>COUCHE</w:t>
            </w:r>
          </w:p>
        </w:tc>
        <w:tc>
          <w:tcPr>
            <w:tcW w:type="dxa" w:w="4592"/>
            <w:shd w:fill="111722"/>
            <w:vAlign w:val="center"/>
            <w:tcMar>
              <w:top w:w="90" w:type="dxa"/>
              <w:start w:w="110" w:type="dxa"/>
              <w:bottom w:w="90" w:type="dxa"/>
              <w:end w:w="110" w:type="dxa"/>
            </w:tcMar>
          </w:tcPr>
          <w:p>
            <w:pPr>
              <w:spacing w:after="0" w:before="0" w:line="247" w:lineRule="auto"/>
            </w:pPr>
            <w:r/>
            <w:r>
              <w:rPr>
                <w:rFonts w:ascii="Aptos" w:hAnsi="Aptos" w:eastAsia="Aptos"/>
                <w:b/>
                <w:color w:val="FFFFFF"/>
                <w:sz w:val="15"/>
              </w:rPr>
              <w:t>OBJETS PRINCIPAUX</w:t>
            </w:r>
          </w:p>
        </w:tc>
        <w:tc>
          <w:tcPr>
            <w:tcW w:type="dxa" w:w="3288"/>
            <w:shd w:fill="111722"/>
            <w:vAlign w:val="center"/>
            <w:tcMar>
              <w:top w:w="90" w:type="dxa"/>
              <w:start w:w="110" w:type="dxa"/>
              <w:bottom w:w="90" w:type="dxa"/>
              <w:end w:w="110" w:type="dxa"/>
            </w:tcMar>
          </w:tcPr>
          <w:p>
            <w:pPr>
              <w:spacing w:after="0" w:before="0" w:line="247" w:lineRule="auto"/>
            </w:pPr>
            <w:r/>
            <w:r>
              <w:rPr>
                <w:rFonts w:ascii="Aptos" w:hAnsi="Aptos" w:eastAsia="Aptos"/>
                <w:b/>
                <w:color w:val="FFFFFF"/>
                <w:sz w:val="15"/>
              </w:rPr>
              <w:t>INTENTION</w:t>
            </w:r>
          </w:p>
        </w:tc>
      </w:tr>
      <w:tr>
        <w:trPr>
          <w:cantSplit/>
        </w:trPr>
        <w:tc>
          <w:tcPr>
            <w:tcW w:type="dxa" w:w="1530"/>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Raw</w:t>
            </w:r>
          </w:p>
        </w:tc>
        <w:tc>
          <w:tcPr>
            <w:tcW w:type="dxa" w:w="4592"/>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8 vues CSV dans DuckDB</w:t>
            </w:r>
          </w:p>
        </w:tc>
        <w:tc>
          <w:tcPr>
            <w:tcW w:type="dxa" w:w="3288"/>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atterrissage traçable</w:t>
            </w:r>
          </w:p>
        </w:tc>
      </w:tr>
      <w:tr>
        <w:trPr>
          <w:cantSplit/>
        </w:trPr>
        <w:tc>
          <w:tcPr>
            <w:tcW w:type="dxa" w:w="1530"/>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Staging</w:t>
            </w:r>
          </w:p>
        </w:tc>
        <w:tc>
          <w:tcPr>
            <w:tcW w:type="dxa" w:w="4592"/>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commandes, clients, identités, produits, stocks, paiements, événements, prix</w:t>
            </w:r>
          </w:p>
        </w:tc>
        <w:tc>
          <w:tcPr>
            <w:tcW w:type="dxa" w:w="3288"/>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typage et contrat source</w:t>
            </w:r>
          </w:p>
        </w:tc>
      </w:tr>
      <w:tr>
        <w:trPr>
          <w:cantSplit/>
        </w:trPr>
        <w:tc>
          <w:tcPr>
            <w:tcW w:type="dxa" w:w="1530"/>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Intermediate</w:t>
            </w:r>
          </w:p>
        </w:tc>
        <w:tc>
          <w:tcPr>
            <w:tcW w:type="dxa" w:w="4592"/>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résolution des identités</w:t>
            </w:r>
          </w:p>
        </w:tc>
        <w:tc>
          <w:tcPr>
            <w:tcW w:type="dxa" w:w="3288"/>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source_customer_id vers customer_id</w:t>
            </w:r>
          </w:p>
        </w:tc>
      </w:tr>
      <w:tr>
        <w:trPr>
          <w:cantSplit/>
        </w:trPr>
        <w:tc>
          <w:tcPr>
            <w:tcW w:type="dxa" w:w="1530"/>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Dimensions</w:t>
            </w:r>
          </w:p>
        </w:tc>
        <w:tc>
          <w:tcPr>
            <w:tcW w:type="dxa" w:w="4592"/>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produit, client, prix SCD2</w:t>
            </w:r>
          </w:p>
        </w:tc>
        <w:tc>
          <w:tcPr>
            <w:tcW w:type="dxa" w:w="3288"/>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contexte analytique partagé</w:t>
            </w:r>
          </w:p>
        </w:tc>
      </w:tr>
      <w:tr>
        <w:trPr>
          <w:cantSplit/>
        </w:trPr>
        <w:tc>
          <w:tcPr>
            <w:tcW w:type="dxa" w:w="1530"/>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Faits</w:t>
            </w:r>
          </w:p>
        </w:tc>
        <w:tc>
          <w:tcPr>
            <w:tcW w:type="dxa" w:w="4592"/>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ventes, paiements, événements, ATP</w:t>
            </w:r>
          </w:p>
        </w:tc>
        <w:tc>
          <w:tcPr>
            <w:tcW w:type="dxa" w:w="3288"/>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mesures au bon grain</w:t>
            </w:r>
          </w:p>
        </w:tc>
      </w:tr>
      <w:tr>
        <w:trPr>
          <w:cantSplit/>
        </w:trPr>
        <w:tc>
          <w:tcPr>
            <w:tcW w:type="dxa" w:w="1530"/>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Marts</w:t>
            </w:r>
          </w:p>
        </w:tc>
        <w:tc>
          <w:tcPr>
            <w:tcW w:type="dxa" w:w="4592"/>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RFM, repricing, rapprochement</w:t>
            </w:r>
          </w:p>
        </w:tc>
        <w:tc>
          <w:tcPr>
            <w:tcW w:type="dxa" w:w="3288"/>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décisions métier</w:t>
            </w:r>
          </w:p>
        </w:tc>
      </w:tr>
      <w:tr>
        <w:trPr>
          <w:cantSplit/>
        </w:trPr>
        <w:tc>
          <w:tcPr>
            <w:tcW w:type="dxa" w:w="1530"/>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Snapshot</w:t>
            </w:r>
          </w:p>
        </w:tc>
        <w:tc>
          <w:tcPr>
            <w:tcW w:type="dxa" w:w="4592"/>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état du stock</w:t>
            </w:r>
          </w:p>
        </w:tc>
        <w:tc>
          <w:tcPr>
            <w:tcW w:type="dxa" w:w="3288"/>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historisation SCD2</w:t>
            </w:r>
          </w:p>
        </w:tc>
      </w:tr>
    </w:tbl>
    <w:p>
      <w:pPr>
        <w:spacing w:after="0"/>
      </w:pPr>
    </w:p>
    <w:p>
      <w:pPr>
        <w:pStyle w:val="Heading2"/>
      </w:pPr>
      <w:r>
        <w:t>RFM</w:t>
      </w:r>
    </w:p>
    <w:p>
      <w:pPr>
        <w:spacing w:after="140" w:line="269" w:lineRule="auto"/>
      </w:pPr>
      <w:r>
        <w:rPr>
          <w:rFonts w:ascii="Aptos" w:hAnsi="Aptos" w:eastAsia="Aptos"/>
          <w:color w:val="1E2631"/>
          <w:sz w:val="18"/>
        </w:rPr>
        <w:t>Le mart calcule la récence, la fréquence et le montant par Golden Record. Chaque dimension reçoit un score quartile de 1 à 4, puis le modèle produit cinq segments : champions, loyal, promising, at_risk et developing.</w:t>
      </w:r>
    </w:p>
    <w:p>
      <w:pPr>
        <w:pStyle w:val="Heading2"/>
      </w:pPr>
      <w:r>
        <w:t>Repricing</w:t>
      </w:r>
    </w:p>
    <w:p>
      <w:pPr>
        <w:spacing w:after="140" w:line="269" w:lineRule="auto"/>
      </w:pPr>
      <w:r>
        <w:rPr>
          <w:rFonts w:ascii="Aptos" w:hAnsi="Aptos" w:eastAsia="Aptos"/>
          <w:color w:val="1E2631"/>
          <w:sz w:val="18"/>
        </w:rPr>
        <w:t>Le mart combine demande, ATP, couverture, remise moyenne et prix réalisé. Il peut protéger la marge de 3 %, accélérer l’écoulement avec une baisse bornée à 5 %, ou maintenir le prix. Un test singulier interdit de sortir de ces garde-fous.</w:t>
      </w:r>
    </w:p>
    <w:tbl>
      <w:tblPr>
        <w:tblW w:type="auto" w:w="0"/>
        <w:jc w:val="center"/>
        <w:tblLayout w:type="fixed"/>
        <w:tblLook w:firstColumn="1" w:firstRow="1" w:lastColumn="0" w:lastRow="0" w:noHBand="0" w:noVBand="1" w:val="04A0"/>
      </w:tblPr>
      <w:tblGrid>
        <w:gridCol w:w="125"/>
        <w:gridCol w:w="9286"/>
      </w:tblGrid>
      <w:tr>
        <w:tc>
          <w:tcPr>
            <w:tcW w:type="dxa" w:w="124"/>
            <w:shd w:fill="3FBED2"/>
            <w:tcMar>
              <w:top w:w="0" w:type="dxa"/>
              <w:start w:w="0" w:type="dxa"/>
              <w:bottom w:w="0" w:type="dxa"/>
              <w:end w:w="0" w:type="dxa"/>
            </w:tcMar>
          </w:tcPr>
          <w:p/>
        </w:tc>
        <w:tc>
          <w:tcPr>
            <w:tcW w:type="dxa" w:w="9287"/>
            <w:shd w:fill="EAF7F9"/>
          </w:tcPr>
          <w:p>
            <w:pPr>
              <w:spacing w:after="40"/>
            </w:pPr>
            <w:r/>
            <w:r>
              <w:rPr>
                <w:rFonts w:ascii="Aptos" w:hAnsi="Aptos" w:eastAsia="Aptos"/>
                <w:b/>
                <w:color w:val="111722"/>
                <w:sz w:val="18"/>
              </w:rPr>
              <w:t>Portabilité</w:t>
            </w:r>
          </w:p>
          <w:p>
            <w:pPr>
              <w:spacing w:after="0" w:line="252" w:lineRule="auto"/>
            </w:pPr>
            <w:r>
              <w:rPr>
                <w:rFonts w:ascii="Aptos" w:hAnsi="Aptos" w:eastAsia="Aptos"/>
                <w:color w:val="5C6876"/>
                <w:sz w:val="17"/>
              </w:rPr>
              <w:t>DuckDB rend l’exécution gratuite. Un profil Snowflake séparé lit compte, rôle, warehouse, base et schéma depuis des variables d’environnement ; aucun secret n’est versionné.</w:t>
            </w:r>
          </w:p>
        </w:tc>
      </w:tr>
    </w:tbl>
    <w:p>
      <w:pPr>
        <w:spacing w:after="0"/>
      </w:pPr>
    </w:p>
    <w:p>
      <w:r>
        <w:br w:type="page"/>
      </w:r>
    </w:p>
    <w:p>
      <w:pPr>
        <w:keepNext/>
        <w:spacing w:after="40"/>
      </w:pPr>
      <w:r>
        <w:rPr>
          <w:rFonts w:ascii="Aptos" w:hAnsi="Aptos" w:eastAsia="Aptos"/>
          <w:b/>
          <w:color w:val="E9684A"/>
          <w:sz w:val="16"/>
        </w:rPr>
        <w:t>06</w:t>
      </w:r>
    </w:p>
    <w:p>
      <w:pPr>
        <w:pStyle w:val="Title"/>
        <w:keepNext/>
        <w:spacing w:after="80"/>
      </w:pPr>
      <w:r>
        <w:rPr>
          <w:rFonts w:ascii="Aptos Display" w:hAnsi="Aptos Display" w:eastAsia="Aptos Display"/>
          <w:b/>
          <w:color w:val="111722"/>
          <w:sz w:val="44"/>
        </w:rPr>
        <w:t>Qualité, réconciliation et SCD2</w:t>
      </w:r>
    </w:p>
    <w:p>
      <w:pPr>
        <w:pStyle w:val="Subtitle"/>
        <w:spacing w:after="220"/>
      </w:pPr>
      <w:r>
        <w:t>La confiance est calculée avant d’être affichée</w:t>
      </w:r>
    </w:p>
    <w:tbl>
      <w:tblPr>
        <w:tblStyle w:val="TableGrid"/>
        <w:tblW w:type="auto" w:w="0"/>
        <w:jc w:val="center"/>
        <w:tblLayout w:type="fixed"/>
        <w:tblLook w:firstColumn="1" w:firstRow="1" w:lastColumn="0" w:lastRow="0" w:noHBand="0" w:noVBand="1" w:val="04A0"/>
      </w:tblPr>
      <w:tblGrid>
        <w:gridCol w:w="3457"/>
        <w:gridCol w:w="3457"/>
        <w:gridCol w:w="3457"/>
      </w:tblGrid>
      <w:tr>
        <w:trPr>
          <w:tblHeader w:val="true"/>
          <w:cantSplit/>
        </w:trPr>
        <w:tc>
          <w:tcPr>
            <w:tcW w:type="dxa" w:w="1417"/>
            <w:shd w:fill="111722"/>
            <w:vAlign w:val="center"/>
            <w:tcMar>
              <w:top w:w="90" w:type="dxa"/>
              <w:start w:w="110" w:type="dxa"/>
              <w:bottom w:w="90" w:type="dxa"/>
              <w:end w:w="110" w:type="dxa"/>
            </w:tcMar>
          </w:tcPr>
          <w:p>
            <w:pPr>
              <w:spacing w:after="0" w:before="0" w:line="247" w:lineRule="auto"/>
            </w:pPr>
            <w:r/>
            <w:r>
              <w:rPr>
                <w:rFonts w:ascii="Aptos" w:hAnsi="Aptos" w:eastAsia="Aptos"/>
                <w:b/>
                <w:color w:val="FFFFFF"/>
                <w:sz w:val="15"/>
              </w:rPr>
              <w:t>DOMAINE</w:t>
            </w:r>
          </w:p>
        </w:tc>
        <w:tc>
          <w:tcPr>
            <w:tcW w:type="dxa" w:w="4876"/>
            <w:shd w:fill="111722"/>
            <w:vAlign w:val="center"/>
            <w:tcMar>
              <w:top w:w="90" w:type="dxa"/>
              <w:start w:w="110" w:type="dxa"/>
              <w:bottom w:w="90" w:type="dxa"/>
              <w:end w:w="110" w:type="dxa"/>
            </w:tcMar>
          </w:tcPr>
          <w:p>
            <w:pPr>
              <w:spacing w:after="0" w:before="0" w:line="247" w:lineRule="auto"/>
            </w:pPr>
            <w:r/>
            <w:r>
              <w:rPr>
                <w:rFonts w:ascii="Aptos" w:hAnsi="Aptos" w:eastAsia="Aptos"/>
                <w:b/>
                <w:color w:val="FFFFFF"/>
                <w:sz w:val="15"/>
              </w:rPr>
              <w:t>CONTRÔLES</w:t>
            </w:r>
          </w:p>
        </w:tc>
        <w:tc>
          <w:tcPr>
            <w:tcW w:type="dxa" w:w="3118"/>
            <w:shd w:fill="111722"/>
            <w:vAlign w:val="center"/>
            <w:tcMar>
              <w:top w:w="90" w:type="dxa"/>
              <w:start w:w="110" w:type="dxa"/>
              <w:bottom w:w="90" w:type="dxa"/>
              <w:end w:w="110" w:type="dxa"/>
            </w:tcMar>
          </w:tcPr>
          <w:p>
            <w:pPr>
              <w:spacing w:after="0" w:before="0" w:line="247" w:lineRule="auto"/>
            </w:pPr>
            <w:r/>
            <w:r>
              <w:rPr>
                <w:rFonts w:ascii="Aptos" w:hAnsi="Aptos" w:eastAsia="Aptos"/>
                <w:b/>
                <w:color w:val="FFFFFF"/>
                <w:sz w:val="15"/>
              </w:rPr>
              <w:t>RISQUE COUVERT</w:t>
            </w:r>
          </w:p>
        </w:tc>
      </w:tr>
      <w:tr>
        <w:trPr>
          <w:cantSplit/>
        </w:trPr>
        <w:tc>
          <w:tcPr>
            <w:tcW w:type="dxa" w:w="141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Contrats</w:t>
            </w:r>
          </w:p>
        </w:tc>
        <w:tc>
          <w:tcPr>
            <w:tcW w:type="dxa" w:w="4876"/>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unicité commandes, événements, paiements, identités</w:t>
            </w:r>
          </w:p>
        </w:tc>
        <w:tc>
          <w:tcPr>
            <w:tcW w:type="dxa" w:w="3118"/>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double comptage</w:t>
            </w:r>
          </w:p>
        </w:tc>
      </w:tr>
      <w:tr>
        <w:trPr>
          <w:cantSplit/>
        </w:trPr>
        <w:tc>
          <w:tcPr>
            <w:tcW w:type="dxa" w:w="1417"/>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Intégrité</w:t>
            </w:r>
          </w:p>
        </w:tc>
        <w:tc>
          <w:tcPr>
            <w:tcW w:type="dxa" w:w="4876"/>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produits, identités, paiements</w:t>
            </w:r>
          </w:p>
        </w:tc>
        <w:tc>
          <w:tcPr>
            <w:tcW w:type="dxa" w:w="3118"/>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orphelins</w:t>
            </w:r>
          </w:p>
        </w:tc>
      </w:tr>
      <w:tr>
        <w:trPr>
          <w:cantSplit/>
        </w:trPr>
        <w:tc>
          <w:tcPr>
            <w:tcW w:type="dxa" w:w="141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Métier</w:t>
            </w:r>
          </w:p>
        </w:tc>
        <w:tc>
          <w:tcPr>
            <w:tcW w:type="dxa" w:w="4876"/>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quantités, montants, remises</w:t>
            </w:r>
          </w:p>
        </w:tc>
        <w:tc>
          <w:tcPr>
            <w:tcW w:type="dxa" w:w="3118"/>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valeurs impossibles</w:t>
            </w:r>
          </w:p>
        </w:tc>
      </w:tr>
      <w:tr>
        <w:trPr>
          <w:cantSplit/>
        </w:trPr>
        <w:tc>
          <w:tcPr>
            <w:tcW w:type="dxa" w:w="1417"/>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Streaming</w:t>
            </w:r>
          </w:p>
        </w:tc>
        <w:tc>
          <w:tcPr>
            <w:tcW w:type="dxa" w:w="4876"/>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comptes, IDs, unités, partition</w:t>
            </w:r>
          </w:p>
        </w:tc>
        <w:tc>
          <w:tcPr>
            <w:tcW w:type="dxa" w:w="3118"/>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perte, doublon ou désordre</w:t>
            </w:r>
          </w:p>
        </w:tc>
      </w:tr>
      <w:tr>
        <w:trPr>
          <w:cantSplit/>
        </w:trPr>
        <w:tc>
          <w:tcPr>
            <w:tcW w:type="dxa" w:w="141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Paiements</w:t>
            </w:r>
          </w:p>
        </w:tc>
        <w:tc>
          <w:tcPr>
            <w:tcW w:type="dxa" w:w="4876"/>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un soldé par commande, montant exact</w:t>
            </w:r>
          </w:p>
        </w:tc>
        <w:tc>
          <w:tcPr>
            <w:tcW w:type="dxa" w:w="3118"/>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écart financier</w:t>
            </w:r>
          </w:p>
        </w:tc>
      </w:tr>
      <w:tr>
        <w:trPr>
          <w:cantSplit/>
        </w:trPr>
        <w:tc>
          <w:tcPr>
            <w:tcW w:type="dxa" w:w="1417"/>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Privacy</w:t>
            </w:r>
          </w:p>
        </w:tc>
        <w:tc>
          <w:tcPr>
            <w:tcW w:type="dxa" w:w="4876"/>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forme du hash email</w:t>
            </w:r>
          </w:p>
        </w:tc>
        <w:tc>
          <w:tcPr>
            <w:tcW w:type="dxa" w:w="3118"/>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exposition PII</w:t>
            </w:r>
          </w:p>
        </w:tc>
      </w:tr>
      <w:tr>
        <w:trPr>
          <w:cantSplit/>
        </w:trPr>
        <w:tc>
          <w:tcPr>
            <w:tcW w:type="dxa" w:w="141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SCD2</w:t>
            </w:r>
          </w:p>
        </w:tc>
        <w:tc>
          <w:tcPr>
            <w:tcW w:type="dxa" w:w="4876"/>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version courante, fin ouverte, non-chevauchement</w:t>
            </w:r>
          </w:p>
        </w:tc>
        <w:tc>
          <w:tcPr>
            <w:tcW w:type="dxa" w:w="3118"/>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historique incohérent</w:t>
            </w:r>
          </w:p>
        </w:tc>
      </w:tr>
      <w:tr>
        <w:trPr>
          <w:cantSplit/>
        </w:trPr>
        <w:tc>
          <w:tcPr>
            <w:tcW w:type="dxa" w:w="1417"/>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Fraîcheur</w:t>
            </w:r>
          </w:p>
        </w:tc>
        <w:tc>
          <w:tcPr>
            <w:tcW w:type="dxa" w:w="4876"/>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dernier événement &lt; 24 h</w:t>
            </w:r>
          </w:p>
        </w:tc>
        <w:tc>
          <w:tcPr>
            <w:tcW w:type="dxa" w:w="3118"/>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KPI obsolète</w:t>
            </w:r>
          </w:p>
        </w:tc>
      </w:tr>
    </w:tbl>
    <w:p>
      <w:pPr>
        <w:spacing w:after="0"/>
      </w:pPr>
    </w:p>
    <w:p>
      <w:pPr>
        <w:pStyle w:val="Heading2"/>
      </w:pPr>
      <w:r>
        <w:t>Double rapprochement</w:t>
      </w:r>
    </w:p>
    <w:tbl>
      <w:tblPr>
        <w:tblW w:type="auto" w:w="0"/>
        <w:tblLook w:firstColumn="1" w:firstRow="1" w:lastColumn="0" w:lastRow="0" w:noHBand="0" w:noVBand="1" w:val="04A0"/>
      </w:tblPr>
      <w:tblGrid>
        <w:gridCol w:w="10370"/>
      </w:tblGrid>
      <w:tr>
        <w:tc>
          <w:tcPr>
            <w:tcW w:type="dxa" w:w="10370"/>
            <w:shd w:fill="111722"/>
            <w:tcMar>
              <w:top w:w="160" w:type="dxa"/>
              <w:start w:w="180" w:type="dxa"/>
              <w:bottom w:w="160" w:type="dxa"/>
              <w:end w:w="180" w:type="dxa"/>
            </w:tcMar>
          </w:tcPr>
          <w:p>
            <w:pPr>
              <w:spacing w:after="20"/>
            </w:pPr>
            <w:r/>
            <w:r>
              <w:rPr>
                <w:rFonts w:ascii="Menlo" w:hAnsi="Menlo" w:eastAsia="Menlo"/>
                <w:color w:val="DCE5ED"/>
                <w:sz w:val="16"/>
              </w:rPr>
              <w:t>unit_delta    = batch_units - kinesis_purchase_units        = 0</w:t>
            </w:r>
          </w:p>
          <w:p>
            <w:pPr>
              <w:spacing w:after="20"/>
            </w:pPr>
            <w:r>
              <w:rPr>
                <w:rFonts w:ascii="Menlo" w:hAnsi="Menlo" w:eastAsia="Menlo"/>
                <w:color w:val="DCE5ED"/>
                <w:sz w:val="16"/>
              </w:rPr>
              <w:t>payment_delta = sales_amount - settled_payment_amount       = 0.00 EUR</w:t>
            </w:r>
          </w:p>
          <w:p>
            <w:pPr>
              <w:spacing w:after="20"/>
            </w:pPr>
            <w:r>
              <w:rPr>
                <w:rFonts w:ascii="Menlo" w:hAnsi="Menlo" w:eastAsia="Menlo"/>
                <w:color w:val="DCE5ED"/>
                <w:sz w:val="16"/>
              </w:rPr>
              <w:t>publish        = all_checks_pass AND both_deltas_are_zero    = TRUE</w:t>
            </w:r>
          </w:p>
        </w:tc>
      </w:tr>
    </w:tbl>
    <w:p>
      <w:pPr>
        <w:spacing w:after="0"/>
      </w:pPr>
    </w:p>
    <w:p>
      <w:pPr>
        <w:spacing w:after="140" w:line="269" w:lineRule="auto"/>
      </w:pPr>
      <w:r>
        <w:rPr>
          <w:rFonts w:ascii="Aptos" w:hAnsi="Aptos" w:eastAsia="Aptos"/>
          <w:color w:val="1E2631"/>
          <w:sz w:val="18"/>
        </w:rPr>
        <w:t>Le rapprochement est recalculé dans le pipeline, dans dbt et dans le cockpit filtré. Cette répétition volontaire protège contre une incohérence entre une vue agrégée, un fait détaillé et l’événement source.</w:t>
      </w:r>
    </w:p>
    <w:p>
      <w:pPr>
        <w:pStyle w:val="Heading2"/>
      </w:pPr>
      <w:r>
        <w:t>Historisation</w:t>
      </w:r>
    </w:p>
    <w:p>
      <w:pPr>
        <w:pStyle w:val="ListBullet"/>
        <w:spacing w:after="80" w:line="252" w:lineRule="auto"/>
        <w:ind w:left="272" w:hanging="136"/>
      </w:pPr>
      <w:r>
        <w:rPr>
          <w:rFonts w:ascii="Aptos" w:hAnsi="Aptos" w:eastAsia="Aptos"/>
          <w:color w:val="1E2631"/>
          <w:sz w:val="18"/>
        </w:rPr>
        <w:t>Prix : 24 versions avec valid_from, valid_to et une seule version courante par produit.</w:t>
      </w:r>
    </w:p>
    <w:p>
      <w:pPr>
        <w:pStyle w:val="ListBullet"/>
        <w:spacing w:after="80" w:line="252" w:lineRule="auto"/>
        <w:ind w:left="272" w:hanging="136"/>
      </w:pPr>
      <w:r>
        <w:rPr>
          <w:rFonts w:ascii="Aptos" w:hAnsi="Aptos" w:eastAsia="Aptos"/>
          <w:color w:val="1E2631"/>
          <w:sz w:val="18"/>
        </w:rPr>
        <w:t>Stock : snapshot dbt check-strategy pour conserver les changements d’état.</w:t>
      </w:r>
    </w:p>
    <w:p>
      <w:pPr>
        <w:pStyle w:val="ListBullet"/>
        <w:spacing w:after="80" w:line="252" w:lineRule="auto"/>
        <w:ind w:left="272" w:hanging="136"/>
      </w:pPr>
      <w:r>
        <w:rPr>
          <w:rFonts w:ascii="Aptos" w:hAnsi="Aptos" w:eastAsia="Aptos"/>
          <w:color w:val="1E2631"/>
          <w:sz w:val="18"/>
        </w:rPr>
        <w:t>Pipeline : rapports datés pour retracer le run et le publishing gate.</w:t>
      </w:r>
    </w:p>
    <w:tbl>
      <w:tblPr>
        <w:tblW w:type="auto" w:w="0"/>
        <w:jc w:val="center"/>
        <w:tblLayout w:type="fixed"/>
        <w:tblLook w:firstColumn="1" w:firstRow="1" w:lastColumn="0" w:lastRow="0" w:noHBand="0" w:noVBand="1" w:val="04A0"/>
      </w:tblPr>
      <w:tblGrid>
        <w:gridCol w:w="2592"/>
        <w:gridCol w:w="2592"/>
        <w:gridCol w:w="2592"/>
        <w:gridCol w:w="2592"/>
      </w:tblGrid>
      <w:tr>
        <w:tc>
          <w:tcPr>
            <w:tcW w:type="dxa" w:w="2592"/>
            <w:shd w:fill="1A2230"/>
            <w:tcMar>
              <w:top w:w="150" w:type="dxa"/>
              <w:start w:w="110" w:type="dxa"/>
              <w:bottom w:w="150" w:type="dxa"/>
              <w:end w:w="110" w:type="dxa"/>
            </w:tcMar>
          </w:tcPr>
          <w:p>
            <w:pPr>
              <w:spacing w:after="40"/>
              <w:jc w:val="center"/>
            </w:pPr>
            <w:r/>
            <w:r>
              <w:rPr>
                <w:rFonts w:ascii="Aptos Display" w:hAnsi="Aptos Display" w:eastAsia="Aptos Display"/>
                <w:b/>
                <w:color w:val="FFFFFF"/>
                <w:sz w:val="30"/>
              </w:rPr>
              <w:t>100 %</w:t>
            </w:r>
          </w:p>
          <w:p>
            <w:pPr>
              <w:spacing w:after="0"/>
              <w:jc w:val="center"/>
            </w:pPr>
            <w:r>
              <w:rPr>
                <w:rFonts w:ascii="Aptos" w:hAnsi="Aptos" w:eastAsia="Aptos"/>
                <w:b/>
                <w:color w:val="B0BCC9"/>
                <w:sz w:val="14"/>
              </w:rPr>
              <w:t>SCORE QUALITÉ</w:t>
            </w:r>
          </w:p>
        </w:tc>
        <w:tc>
          <w:tcPr>
            <w:tcW w:type="dxa" w:w="2592"/>
            <w:shd w:fill="1A2230"/>
            <w:tcMar>
              <w:top w:w="150" w:type="dxa"/>
              <w:start w:w="110" w:type="dxa"/>
              <w:bottom w:w="150" w:type="dxa"/>
              <w:end w:w="110" w:type="dxa"/>
            </w:tcMar>
          </w:tcPr>
          <w:p>
            <w:pPr>
              <w:spacing w:after="40"/>
              <w:jc w:val="center"/>
            </w:pPr>
            <w:r/>
            <w:r>
              <w:rPr>
                <w:rFonts w:ascii="Aptos Display" w:hAnsi="Aptos Display" w:eastAsia="Aptos Display"/>
                <w:b/>
                <w:color w:val="FFFFFF"/>
                <w:sz w:val="30"/>
              </w:rPr>
              <w:t>24/24</w:t>
            </w:r>
          </w:p>
          <w:p>
            <w:pPr>
              <w:spacing w:after="0"/>
              <w:jc w:val="center"/>
            </w:pPr>
            <w:r>
              <w:rPr>
                <w:rFonts w:ascii="Aptos" w:hAnsi="Aptos" w:eastAsia="Aptos"/>
                <w:b/>
                <w:color w:val="B0BCC9"/>
                <w:sz w:val="14"/>
              </w:rPr>
              <w:t>PYTHON</w:t>
            </w:r>
          </w:p>
        </w:tc>
        <w:tc>
          <w:tcPr>
            <w:tcW w:type="dxa" w:w="2592"/>
            <w:shd w:fill="1A2230"/>
            <w:tcMar>
              <w:top w:w="150" w:type="dxa"/>
              <w:start w:w="110" w:type="dxa"/>
              <w:bottom w:w="150" w:type="dxa"/>
              <w:end w:w="110" w:type="dxa"/>
            </w:tcMar>
          </w:tcPr>
          <w:p>
            <w:pPr>
              <w:spacing w:after="40"/>
              <w:jc w:val="center"/>
            </w:pPr>
            <w:r/>
            <w:r>
              <w:rPr>
                <w:rFonts w:ascii="Aptos Display" w:hAnsi="Aptos Display" w:eastAsia="Aptos Display"/>
                <w:b/>
                <w:color w:val="FFFFFF"/>
                <w:sz w:val="30"/>
              </w:rPr>
              <w:t>78/78</w:t>
            </w:r>
          </w:p>
          <w:p>
            <w:pPr>
              <w:spacing w:after="0"/>
              <w:jc w:val="center"/>
            </w:pPr>
            <w:r>
              <w:rPr>
                <w:rFonts w:ascii="Aptos" w:hAnsi="Aptos" w:eastAsia="Aptos"/>
                <w:b/>
                <w:color w:val="B0BCC9"/>
                <w:sz w:val="14"/>
              </w:rPr>
              <w:t>DBT</w:t>
            </w:r>
          </w:p>
        </w:tc>
        <w:tc>
          <w:tcPr>
            <w:tcW w:type="dxa" w:w="2592"/>
            <w:shd w:fill="1A2230"/>
            <w:tcMar>
              <w:top w:w="150" w:type="dxa"/>
              <w:start w:w="110" w:type="dxa"/>
              <w:bottom w:w="150" w:type="dxa"/>
              <w:end w:w="110" w:type="dxa"/>
            </w:tcMar>
          </w:tcPr>
          <w:p>
            <w:pPr>
              <w:spacing w:after="40"/>
              <w:jc w:val="center"/>
            </w:pPr>
            <w:r/>
            <w:r>
              <w:rPr>
                <w:rFonts w:ascii="Aptos Display" w:hAnsi="Aptos Display" w:eastAsia="Aptos Display"/>
                <w:b/>
                <w:color w:val="FFFFFF"/>
                <w:sz w:val="30"/>
              </w:rPr>
              <w:t>1</w:t>
            </w:r>
          </w:p>
          <w:p>
            <w:pPr>
              <w:spacing w:after="0"/>
              <w:jc w:val="center"/>
            </w:pPr>
            <w:r>
              <w:rPr>
                <w:rFonts w:ascii="Aptos" w:hAnsi="Aptos" w:eastAsia="Aptos"/>
                <w:b/>
                <w:color w:val="B0BCC9"/>
                <w:sz w:val="14"/>
              </w:rPr>
              <w:t>SNAPSHOT</w:t>
            </w:r>
          </w:p>
        </w:tc>
      </w:tr>
    </w:tbl>
    <w:p>
      <w:pPr>
        <w:spacing w:after="0"/>
      </w:pPr>
    </w:p>
    <w:p>
      <w:r>
        <w:br w:type="page"/>
      </w:r>
    </w:p>
    <w:p>
      <w:pPr>
        <w:keepNext/>
        <w:spacing w:after="40"/>
      </w:pPr>
      <w:r>
        <w:rPr>
          <w:rFonts w:ascii="Aptos" w:hAnsi="Aptos" w:eastAsia="Aptos"/>
          <w:b/>
          <w:color w:val="E9684A"/>
          <w:sz w:val="16"/>
        </w:rPr>
        <w:t>07</w:t>
      </w:r>
    </w:p>
    <w:p>
      <w:pPr>
        <w:pStyle w:val="Title"/>
        <w:keepNext/>
        <w:spacing w:after="80"/>
      </w:pPr>
      <w:r>
        <w:rPr>
          <w:rFonts w:ascii="Aptos Display" w:hAnsi="Aptos Display" w:eastAsia="Aptos Display"/>
          <w:b/>
          <w:color w:val="111722"/>
          <w:sz w:val="44"/>
        </w:rPr>
        <w:t>KPI et logique retail</w:t>
      </w:r>
    </w:p>
    <w:p>
      <w:pPr>
        <w:pStyle w:val="Subtitle"/>
        <w:spacing w:after="220"/>
      </w:pPr>
      <w:r>
        <w:t>Des indicateurs reliés à une décision opérationnelle</w:t>
      </w:r>
    </w:p>
    <w:tbl>
      <w:tblPr>
        <w:tblStyle w:val="TableGrid"/>
        <w:tblW w:type="auto" w:w="0"/>
        <w:jc w:val="center"/>
        <w:tblLayout w:type="fixed"/>
        <w:tblLook w:firstColumn="1" w:firstRow="1" w:lastColumn="0" w:lastRow="0" w:noHBand="0" w:noVBand="1" w:val="04A0"/>
      </w:tblPr>
      <w:tblGrid>
        <w:gridCol w:w="3457"/>
        <w:gridCol w:w="3457"/>
        <w:gridCol w:w="3457"/>
      </w:tblGrid>
      <w:tr>
        <w:trPr>
          <w:tblHeader w:val="true"/>
          <w:cantSplit/>
        </w:trPr>
        <w:tc>
          <w:tcPr>
            <w:tcW w:type="dxa" w:w="1871"/>
            <w:shd w:fill="111722"/>
            <w:vAlign w:val="center"/>
            <w:tcMar>
              <w:top w:w="90" w:type="dxa"/>
              <w:start w:w="110" w:type="dxa"/>
              <w:bottom w:w="90" w:type="dxa"/>
              <w:end w:w="110" w:type="dxa"/>
            </w:tcMar>
          </w:tcPr>
          <w:p>
            <w:pPr>
              <w:spacing w:after="0" w:before="0" w:line="247" w:lineRule="auto"/>
            </w:pPr>
            <w:r/>
            <w:r>
              <w:rPr>
                <w:rFonts w:ascii="Aptos" w:hAnsi="Aptos" w:eastAsia="Aptos"/>
                <w:b/>
                <w:color w:val="FFFFFF"/>
                <w:sz w:val="15"/>
              </w:rPr>
              <w:t>KPI</w:t>
            </w:r>
          </w:p>
        </w:tc>
        <w:tc>
          <w:tcPr>
            <w:tcW w:type="dxa" w:w="4139"/>
            <w:shd w:fill="111722"/>
            <w:vAlign w:val="center"/>
            <w:tcMar>
              <w:top w:w="90" w:type="dxa"/>
              <w:start w:w="110" w:type="dxa"/>
              <w:bottom w:w="90" w:type="dxa"/>
              <w:end w:w="110" w:type="dxa"/>
            </w:tcMar>
          </w:tcPr>
          <w:p>
            <w:pPr>
              <w:spacing w:after="0" w:before="0" w:line="247" w:lineRule="auto"/>
            </w:pPr>
            <w:r/>
            <w:r>
              <w:rPr>
                <w:rFonts w:ascii="Aptos" w:hAnsi="Aptos" w:eastAsia="Aptos"/>
                <w:b/>
                <w:color w:val="FFFFFF"/>
                <w:sz w:val="15"/>
              </w:rPr>
              <w:t>DÉFINITION</w:t>
            </w:r>
          </w:p>
        </w:tc>
        <w:tc>
          <w:tcPr>
            <w:tcW w:type="dxa" w:w="3402"/>
            <w:shd w:fill="111722"/>
            <w:vAlign w:val="center"/>
            <w:tcMar>
              <w:top w:w="90" w:type="dxa"/>
              <w:start w:w="110" w:type="dxa"/>
              <w:bottom w:w="90" w:type="dxa"/>
              <w:end w:w="110" w:type="dxa"/>
            </w:tcMar>
          </w:tcPr>
          <w:p>
            <w:pPr>
              <w:spacing w:after="0" w:before="0" w:line="247" w:lineRule="auto"/>
            </w:pPr>
            <w:r/>
            <w:r>
              <w:rPr>
                <w:rFonts w:ascii="Aptos" w:hAnsi="Aptos" w:eastAsia="Aptos"/>
                <w:b/>
                <w:color w:val="FFFFFF"/>
                <w:sz w:val="15"/>
              </w:rPr>
              <w:t>USAGE</w:t>
            </w:r>
          </w:p>
        </w:tc>
      </w:tr>
      <w:tr>
        <w:trPr>
          <w:cantSplit/>
        </w:trPr>
        <w:tc>
          <w:tcPr>
            <w:tcW w:type="dxa" w:w="1871"/>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Chiffre d’affaires</w:t>
            </w:r>
          </w:p>
        </w:tc>
        <w:tc>
          <w:tcPr>
            <w:tcW w:type="dxa" w:w="4139"/>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somme des ventes</w:t>
            </w:r>
          </w:p>
        </w:tc>
        <w:tc>
          <w:tcPr>
            <w:tcW w:type="dxa" w:w="3402"/>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pilotage commercial</w:t>
            </w:r>
          </w:p>
        </w:tc>
      </w:tr>
      <w:tr>
        <w:trPr>
          <w:cantSplit/>
        </w:trPr>
        <w:tc>
          <w:tcPr>
            <w:tcW w:type="dxa" w:w="1871"/>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Commandes</w:t>
            </w:r>
          </w:p>
        </w:tc>
        <w:tc>
          <w:tcPr>
            <w:tcW w:type="dxa" w:w="4139"/>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nombre d’order_id</w:t>
            </w:r>
          </w:p>
        </w:tc>
        <w:tc>
          <w:tcPr>
            <w:tcW w:type="dxa" w:w="3402"/>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volume d’activité</w:t>
            </w:r>
          </w:p>
        </w:tc>
      </w:tr>
      <w:tr>
        <w:trPr>
          <w:cantSplit/>
        </w:trPr>
        <w:tc>
          <w:tcPr>
            <w:tcW w:type="dxa" w:w="1871"/>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Panier moyen</w:t>
            </w:r>
          </w:p>
        </w:tc>
        <w:tc>
          <w:tcPr>
            <w:tcW w:type="dxa" w:w="4139"/>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CA / commandes</w:t>
            </w:r>
          </w:p>
        </w:tc>
        <w:tc>
          <w:tcPr>
            <w:tcW w:type="dxa" w:w="3402"/>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valeur d’achat</w:t>
            </w:r>
          </w:p>
        </w:tc>
      </w:tr>
      <w:tr>
        <w:trPr>
          <w:cantSplit/>
        </w:trPr>
        <w:tc>
          <w:tcPr>
            <w:tcW w:type="dxa" w:w="1871"/>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Clients actifs</w:t>
            </w:r>
          </w:p>
        </w:tc>
        <w:tc>
          <w:tcPr>
            <w:tcW w:type="dxa" w:w="4139"/>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clients distincts</w:t>
            </w:r>
          </w:p>
        </w:tc>
        <w:tc>
          <w:tcPr>
            <w:tcW w:type="dxa" w:w="3402"/>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engagement réel</w:t>
            </w:r>
          </w:p>
        </w:tc>
      </w:tr>
      <w:tr>
        <w:trPr>
          <w:cantSplit/>
        </w:trPr>
        <w:tc>
          <w:tcPr>
            <w:tcW w:type="dxa" w:w="1871"/>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ATP</w:t>
            </w:r>
          </w:p>
        </w:tc>
        <w:tc>
          <w:tcPr>
            <w:tcW w:type="dxa" w:w="4139"/>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magasin + entrepôt + entrant - réservé - vendu</w:t>
            </w:r>
          </w:p>
        </w:tc>
        <w:tc>
          <w:tcPr>
            <w:tcW w:type="dxa" w:w="3402"/>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promesse client</w:t>
            </w:r>
          </w:p>
        </w:tc>
      </w:tr>
      <w:tr>
        <w:trPr>
          <w:cantSplit/>
        </w:trPr>
        <w:tc>
          <w:tcPr>
            <w:tcW w:type="dxa" w:w="1871"/>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Risque de rupture</w:t>
            </w:r>
          </w:p>
        </w:tc>
        <w:tc>
          <w:tcPr>
            <w:tcW w:type="dxa" w:w="4139"/>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ATP vs stock de sécurité</w:t>
            </w:r>
          </w:p>
        </w:tc>
        <w:tc>
          <w:tcPr>
            <w:tcW w:type="dxa" w:w="3402"/>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priorité supply</w:t>
            </w:r>
          </w:p>
        </w:tc>
      </w:tr>
      <w:tr>
        <w:trPr>
          <w:cantSplit/>
        </w:trPr>
        <w:tc>
          <w:tcPr>
            <w:tcW w:type="dxa" w:w="1871"/>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Latence p95</w:t>
            </w:r>
          </w:p>
        </w:tc>
        <w:tc>
          <w:tcPr>
            <w:tcW w:type="dxa" w:w="4139"/>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95 % des événements sous le délai</w:t>
            </w:r>
          </w:p>
        </w:tc>
        <w:tc>
          <w:tcPr>
            <w:tcW w:type="dxa" w:w="3402"/>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SLA streaming</w:t>
            </w:r>
          </w:p>
        </w:tc>
      </w:tr>
      <w:tr>
        <w:trPr>
          <w:cantSplit/>
        </w:trPr>
        <w:tc>
          <w:tcPr>
            <w:tcW w:type="dxa" w:w="1871"/>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RFM</w:t>
            </w:r>
          </w:p>
        </w:tc>
        <w:tc>
          <w:tcPr>
            <w:tcW w:type="dxa" w:w="4139"/>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récence + fréquence + montant</w:t>
            </w:r>
          </w:p>
        </w:tc>
        <w:tc>
          <w:tcPr>
            <w:tcW w:type="dxa" w:w="3402"/>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activation CRM</w:t>
            </w:r>
          </w:p>
        </w:tc>
      </w:tr>
      <w:tr>
        <w:trPr>
          <w:cantSplit/>
        </w:trPr>
        <w:tc>
          <w:tcPr>
            <w:tcW w:type="dxa" w:w="1871"/>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Repricing</w:t>
            </w:r>
          </w:p>
        </w:tc>
        <w:tc>
          <w:tcPr>
            <w:tcW w:type="dxa" w:w="4139"/>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demande + couverture + prix</w:t>
            </w:r>
          </w:p>
        </w:tc>
        <w:tc>
          <w:tcPr>
            <w:tcW w:type="dxa" w:w="3402"/>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marge et écoulement</w:t>
            </w:r>
          </w:p>
        </w:tc>
      </w:tr>
      <w:tr>
        <w:trPr>
          <w:cantSplit/>
        </w:trPr>
        <w:tc>
          <w:tcPr>
            <w:tcW w:type="dxa" w:w="1871"/>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Score qualité</w:t>
            </w:r>
          </w:p>
        </w:tc>
        <w:tc>
          <w:tcPr>
            <w:tcW w:type="dxa" w:w="4139"/>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tests réussis / exécutés</w:t>
            </w:r>
          </w:p>
        </w:tc>
        <w:tc>
          <w:tcPr>
            <w:tcW w:type="dxa" w:w="3402"/>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droit de publier</w:t>
            </w:r>
          </w:p>
        </w:tc>
      </w:tr>
    </w:tbl>
    <w:p>
      <w:pPr>
        <w:spacing w:after="0"/>
      </w:pPr>
    </w:p>
    <w:p>
      <w:pPr>
        <w:pStyle w:val="Heading2"/>
      </w:pPr>
      <w:r>
        <w:t>Available to Promise</w:t>
      </w:r>
    </w:p>
    <w:tbl>
      <w:tblPr>
        <w:tblW w:type="auto" w:w="0"/>
        <w:tblLook w:firstColumn="1" w:firstRow="1" w:lastColumn="0" w:lastRow="0" w:noHBand="0" w:noVBand="1" w:val="04A0"/>
      </w:tblPr>
      <w:tblGrid>
        <w:gridCol w:w="10370"/>
      </w:tblGrid>
      <w:tr>
        <w:tc>
          <w:tcPr>
            <w:tcW w:type="dxa" w:w="10370"/>
            <w:shd w:fill="111722"/>
            <w:tcMar>
              <w:top w:w="160" w:type="dxa"/>
              <w:start w:w="180" w:type="dxa"/>
              <w:bottom w:w="160" w:type="dxa"/>
              <w:end w:w="180" w:type="dxa"/>
            </w:tcMar>
          </w:tcPr>
          <w:p>
            <w:pPr>
              <w:spacing w:after="20"/>
            </w:pPr>
            <w:r/>
            <w:r>
              <w:rPr>
                <w:rFonts w:ascii="Menlo" w:hAnsi="Menlo" w:eastAsia="Menlo"/>
                <w:color w:val="DCE5ED"/>
                <w:sz w:val="16"/>
              </w:rPr>
              <w:t>ATP = stock_store + stock_warehouse + incoming</w:t>
            </w:r>
          </w:p>
          <w:p>
            <w:pPr>
              <w:spacing w:after="20"/>
            </w:pPr>
            <w:r>
              <w:rPr>
                <w:rFonts w:ascii="Menlo" w:hAnsi="Menlo" w:eastAsia="Menlo"/>
                <w:color w:val="DCE5ED"/>
                <w:sz w:val="16"/>
              </w:rPr>
              <w:t xml:space="preserve">      - reserved - units_sold</w:t>
            </w:r>
          </w:p>
          <w:p>
            <w:pPr>
              <w:spacing w:after="20"/>
            </w:pPr>
            <w:r>
              <w:rPr>
                <w:rFonts w:ascii="Menlo" w:hAnsi="Menlo" w:eastAsia="Menlo"/>
                <w:color w:val="DCE5ED"/>
                <w:sz w:val="16"/>
              </w:rPr>
              <w:t>critical: ATP &lt; safety_stock | watch: ATP &lt; 2 × safety_stock | healthy: otherwise</w:t>
            </w:r>
          </w:p>
        </w:tc>
      </w:tr>
    </w:tbl>
    <w:p>
      <w:pPr>
        <w:spacing w:after="0"/>
      </w:pPr>
    </w:p>
    <w:p>
      <w:pPr>
        <w:pStyle w:val="Heading2"/>
      </w:pPr>
      <w:r>
        <w:t>Customer 360</w:t>
      </w:r>
    </w:p>
    <w:p>
      <w:pPr>
        <w:spacing w:after="140" w:line="269" w:lineRule="auto"/>
      </w:pPr>
      <w:r>
        <w:rPr>
          <w:rFonts w:ascii="Aptos" w:hAnsi="Aptos" w:eastAsia="Aptos"/>
          <w:color w:val="1E2631"/>
          <w:sz w:val="18"/>
        </w:rPr>
        <w:t>Le Golden Record réunit pays, fidélité, acquisition, consentement, canaux actifs, commandes et valeur. La pseudonymisation protège l’analyse ; le consentement reste disponible pour empêcher une activation non autorisée.</w:t>
      </w:r>
    </w:p>
    <w:tbl>
      <w:tblPr>
        <w:tblW w:type="auto" w:w="0"/>
        <w:jc w:val="center"/>
        <w:tblLayout w:type="fixed"/>
        <w:tblLook w:firstColumn="1" w:firstRow="1" w:lastColumn="0" w:lastRow="0" w:noHBand="0" w:noVBand="1" w:val="04A0"/>
      </w:tblPr>
      <w:tblGrid>
        <w:gridCol w:w="125"/>
        <w:gridCol w:w="9286"/>
      </w:tblGrid>
      <w:tr>
        <w:tc>
          <w:tcPr>
            <w:tcW w:type="dxa" w:w="124"/>
            <w:shd w:fill="3FBED2"/>
            <w:tcMar>
              <w:top w:w="0" w:type="dxa"/>
              <w:start w:w="0" w:type="dxa"/>
              <w:bottom w:w="0" w:type="dxa"/>
              <w:end w:w="0" w:type="dxa"/>
            </w:tcMar>
          </w:tcPr>
          <w:p/>
        </w:tc>
        <w:tc>
          <w:tcPr>
            <w:tcW w:type="dxa" w:w="9287"/>
            <w:shd w:fill="EAF7F9"/>
          </w:tcPr>
          <w:p>
            <w:pPr>
              <w:spacing w:after="40"/>
            </w:pPr>
            <w:r/>
            <w:r>
              <w:rPr>
                <w:rFonts w:ascii="Aptos" w:hAnsi="Aptos" w:eastAsia="Aptos"/>
                <w:b/>
                <w:color w:val="111722"/>
                <w:sz w:val="18"/>
              </w:rPr>
              <w:t>Cohérence des filtres</w:t>
            </w:r>
          </w:p>
          <w:p>
            <w:pPr>
              <w:spacing w:after="0" w:line="252" w:lineRule="auto"/>
            </w:pPr>
            <w:r>
              <w:rPr>
                <w:rFonts w:ascii="Aptos" w:hAnsi="Aptos" w:eastAsia="Aptos"/>
                <w:color w:val="5C6876"/>
                <w:sz w:val="17"/>
              </w:rPr>
              <w:t>Le canal et la période s’appliquent aux KPI, séries, événements, clients et deux rapprochements. Le cockpit évite ainsi de comparer des périmètres différents.</w:t>
            </w:r>
          </w:p>
        </w:tc>
      </w:tr>
    </w:tbl>
    <w:p>
      <w:pPr>
        <w:spacing w:after="0"/>
      </w:pPr>
    </w:p>
    <w:p>
      <w:r>
        <w:br w:type="page"/>
      </w:r>
    </w:p>
    <w:p>
      <w:pPr>
        <w:keepNext/>
        <w:spacing w:after="40"/>
      </w:pPr>
      <w:r>
        <w:rPr>
          <w:rFonts w:ascii="Aptos" w:hAnsi="Aptos" w:eastAsia="Aptos"/>
          <w:b/>
          <w:color w:val="E9684A"/>
          <w:sz w:val="16"/>
        </w:rPr>
        <w:t>08</w:t>
      </w:r>
    </w:p>
    <w:p>
      <w:pPr>
        <w:pStyle w:val="Title"/>
        <w:keepNext/>
        <w:spacing w:after="80"/>
      </w:pPr>
      <w:r>
        <w:rPr>
          <w:rFonts w:ascii="Aptos Display" w:hAnsi="Aptos Display" w:eastAsia="Aptos Display"/>
          <w:b/>
          <w:color w:val="111722"/>
          <w:sz w:val="44"/>
        </w:rPr>
        <w:t>AWS local, observabilité et FinOps</w:t>
      </w:r>
    </w:p>
    <w:p>
      <w:pPr>
        <w:pStyle w:val="Subtitle"/>
        <w:spacing w:after="220"/>
      </w:pPr>
      <w:r>
        <w:t>Des preuves techniques sans masquer les limites du démonstrateur</w:t>
      </w:r>
    </w:p>
    <w:tbl>
      <w:tblPr>
        <w:tblStyle w:val="TableGrid"/>
        <w:tblW w:type="auto" w:w="0"/>
        <w:jc w:val="center"/>
        <w:tblLayout w:type="fixed"/>
        <w:tblLook w:firstColumn="1" w:firstRow="1" w:lastColumn="0" w:lastRow="0" w:noHBand="0" w:noVBand="1" w:val="04A0"/>
      </w:tblPr>
      <w:tblGrid>
        <w:gridCol w:w="3457"/>
        <w:gridCol w:w="3457"/>
        <w:gridCol w:w="3457"/>
      </w:tblGrid>
      <w:tr>
        <w:trPr>
          <w:tblHeader w:val="true"/>
          <w:cantSplit/>
        </w:trPr>
        <w:tc>
          <w:tcPr>
            <w:tcW w:type="dxa" w:w="1530"/>
            <w:shd w:fill="111722"/>
            <w:vAlign w:val="center"/>
            <w:tcMar>
              <w:top w:w="90" w:type="dxa"/>
              <w:start w:w="110" w:type="dxa"/>
              <w:bottom w:w="90" w:type="dxa"/>
              <w:end w:w="110" w:type="dxa"/>
            </w:tcMar>
          </w:tcPr>
          <w:p>
            <w:pPr>
              <w:spacing w:after="0" w:before="0" w:line="247" w:lineRule="auto"/>
            </w:pPr>
            <w:r/>
            <w:r>
              <w:rPr>
                <w:rFonts w:ascii="Aptos" w:hAnsi="Aptos" w:eastAsia="Aptos"/>
                <w:b/>
                <w:color w:val="FFFFFF"/>
                <w:sz w:val="15"/>
              </w:rPr>
              <w:t>SERVICE</w:t>
            </w:r>
          </w:p>
        </w:tc>
        <w:tc>
          <w:tcPr>
            <w:tcW w:type="dxa" w:w="3628"/>
            <w:shd w:fill="111722"/>
            <w:vAlign w:val="center"/>
            <w:tcMar>
              <w:top w:w="90" w:type="dxa"/>
              <w:start w:w="110" w:type="dxa"/>
              <w:bottom w:w="90" w:type="dxa"/>
              <w:end w:w="110" w:type="dxa"/>
            </w:tcMar>
          </w:tcPr>
          <w:p>
            <w:pPr>
              <w:spacing w:after="0" w:before="0" w:line="247" w:lineRule="auto"/>
            </w:pPr>
            <w:r/>
            <w:r>
              <w:rPr>
                <w:rFonts w:ascii="Aptos" w:hAnsi="Aptos" w:eastAsia="Aptos"/>
                <w:b/>
                <w:color w:val="FFFFFF"/>
                <w:sz w:val="15"/>
              </w:rPr>
              <w:t>EXÉCUTION LOCALE</w:t>
            </w:r>
          </w:p>
        </w:tc>
        <w:tc>
          <w:tcPr>
            <w:tcW w:type="dxa" w:w="4252"/>
            <w:shd w:fill="111722"/>
            <w:vAlign w:val="center"/>
            <w:tcMar>
              <w:top w:w="90" w:type="dxa"/>
              <w:start w:w="110" w:type="dxa"/>
              <w:bottom w:w="90" w:type="dxa"/>
              <w:end w:w="110" w:type="dxa"/>
            </w:tcMar>
          </w:tcPr>
          <w:p>
            <w:pPr>
              <w:spacing w:after="0" w:before="0" w:line="247" w:lineRule="auto"/>
            </w:pPr>
            <w:r/>
            <w:r>
              <w:rPr>
                <w:rFonts w:ascii="Aptos" w:hAnsi="Aptos" w:eastAsia="Aptos"/>
                <w:b/>
                <w:color w:val="FFFFFF"/>
                <w:sz w:val="15"/>
              </w:rPr>
              <w:t>INFRASTRUCTURE CIBLE</w:t>
            </w:r>
          </w:p>
        </w:tc>
      </w:tr>
      <w:tr>
        <w:trPr>
          <w:cantSplit/>
        </w:trPr>
        <w:tc>
          <w:tcPr>
            <w:tcW w:type="dxa" w:w="1530"/>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S3</w:t>
            </w:r>
          </w:p>
        </w:tc>
        <w:tc>
          <w:tcPr>
            <w:tcW w:type="dxa" w:w="3628"/>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8 objets Raw partitionnés</w:t>
            </w:r>
          </w:p>
        </w:tc>
        <w:tc>
          <w:tcPr>
            <w:tcW w:type="dxa" w:w="4252"/>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privé, versionné, AES-256, lifecycle</w:t>
            </w:r>
          </w:p>
        </w:tc>
      </w:tr>
      <w:tr>
        <w:trPr>
          <w:cantSplit/>
        </w:trPr>
        <w:tc>
          <w:tcPr>
            <w:tcW w:type="dxa" w:w="1530"/>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Kinesis</w:t>
            </w:r>
          </w:p>
        </w:tc>
        <w:tc>
          <w:tcPr>
            <w:tcW w:type="dxa" w:w="3628"/>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3 160 messages, 0 échec, relecture</w:t>
            </w:r>
          </w:p>
        </w:tc>
        <w:tc>
          <w:tcPr>
            <w:tcW w:type="dxa" w:w="4252"/>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chiffrement KMS et métriques shard</w:t>
            </w:r>
          </w:p>
        </w:tc>
      </w:tr>
      <w:tr>
        <w:trPr>
          <w:cantSplit/>
        </w:trPr>
        <w:tc>
          <w:tcPr>
            <w:tcW w:type="dxa" w:w="1530"/>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Lambda</w:t>
            </w:r>
          </w:p>
        </w:tc>
        <w:tc>
          <w:tcPr>
            <w:tcW w:type="dxa" w:w="3628"/>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validation appelée sur 3 160 événements</w:t>
            </w:r>
          </w:p>
        </w:tc>
        <w:tc>
          <w:tcPr>
            <w:tcW w:type="dxa" w:w="4252"/>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Python 3.12, 256 MB, IAM limité</w:t>
            </w:r>
          </w:p>
        </w:tc>
      </w:tr>
      <w:tr>
        <w:trPr>
          <w:cantSplit/>
        </w:trPr>
        <w:tc>
          <w:tcPr>
            <w:tcW w:type="dxa" w:w="1530"/>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CloudWatch</w:t>
            </w:r>
          </w:p>
        </w:tc>
        <w:tc>
          <w:tcPr>
            <w:tcW w:type="dxa" w:w="3628"/>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3 métriques, log et alarme p95</w:t>
            </w:r>
          </w:p>
        </w:tc>
        <w:tc>
          <w:tcPr>
            <w:tcW w:type="dxa" w:w="4252"/>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alarmes throttling et erreurs</w:t>
            </w:r>
          </w:p>
        </w:tc>
      </w:tr>
      <w:tr>
        <w:trPr>
          <w:cantSplit/>
        </w:trPr>
        <w:tc>
          <w:tcPr>
            <w:tcW w:type="dxa" w:w="1530"/>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IAM</w:t>
            </w:r>
          </w:p>
        </w:tc>
        <w:tc>
          <w:tcPr>
            <w:tcW w:type="dxa" w:w="3628"/>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identifiants de test LocalStack</w:t>
            </w:r>
          </w:p>
        </w:tc>
        <w:tc>
          <w:tcPr>
            <w:tcW w:type="dxa" w:w="4252"/>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rôle et policy à privilèges limités</w:t>
            </w:r>
          </w:p>
        </w:tc>
      </w:tr>
    </w:tbl>
    <w:p>
      <w:pPr>
        <w:spacing w:after="0"/>
      </w:pPr>
    </w:p>
    <w:p>
      <w:pPr>
        <w:pStyle w:val="Heading2"/>
      </w:pPr>
      <w:r>
        <w:t>Observabilité</w:t>
      </w:r>
    </w:p>
    <w:p>
      <w:pPr>
        <w:pStyle w:val="ListBullet"/>
        <w:spacing w:after="50" w:line="252" w:lineRule="auto"/>
        <w:ind w:left="272" w:hanging="136"/>
      </w:pPr>
      <w:r>
        <w:rPr>
          <w:rFonts w:ascii="Aptos" w:hAnsi="Aptos" w:eastAsia="Aptos"/>
          <w:color w:val="1E2631"/>
          <w:sz w:val="18"/>
        </w:rPr>
        <w:t>RawObjectsUploaded mesure la complétude de l’atterrissage.</w:t>
      </w:r>
    </w:p>
    <w:p>
      <w:pPr>
        <w:pStyle w:val="ListBullet"/>
        <w:spacing w:after="50" w:line="252" w:lineRule="auto"/>
        <w:ind w:left="272" w:hanging="136"/>
      </w:pPr>
      <w:r>
        <w:rPr>
          <w:rFonts w:ascii="Aptos" w:hAnsi="Aptos" w:eastAsia="Aptos"/>
          <w:color w:val="1E2631"/>
          <w:sz w:val="18"/>
        </w:rPr>
        <w:t>EventsPublished mesure le débit Kinesis réellement accepté.</w:t>
      </w:r>
    </w:p>
    <w:p>
      <w:pPr>
        <w:pStyle w:val="ListBullet"/>
        <w:spacing w:after="50" w:line="252" w:lineRule="auto"/>
        <w:ind w:left="272" w:hanging="136"/>
      </w:pPr>
      <w:r>
        <w:rPr>
          <w:rFonts w:ascii="Aptos" w:hAnsi="Aptos" w:eastAsia="Aptos"/>
          <w:color w:val="1E2631"/>
          <w:sz w:val="18"/>
        </w:rPr>
        <w:t>EventLatencyP95 suit le SLA quasi temps réel et déclenche une alarme à 3 secondes.</w:t>
      </w:r>
    </w:p>
    <w:p>
      <w:pPr>
        <w:pStyle w:val="ListBullet"/>
        <w:spacing w:after="50" w:line="252" w:lineRule="auto"/>
        <w:ind w:left="272" w:hanging="136"/>
      </w:pPr>
      <w:r>
        <w:rPr>
          <w:rFonts w:ascii="Aptos" w:hAnsi="Aptos" w:eastAsia="Aptos"/>
          <w:color w:val="1E2631"/>
          <w:sz w:val="18"/>
        </w:rPr>
        <w:t>Un log structuré résume objets, événements, latence et statut.</w:t>
      </w:r>
    </w:p>
    <w:p>
      <w:pPr>
        <w:pStyle w:val="Heading2"/>
      </w:pPr>
      <w:r>
        <w:t>FinOps</w:t>
      </w:r>
    </w:p>
    <w:p>
      <w:pPr>
        <w:spacing w:after="140" w:line="269" w:lineRule="auto"/>
      </w:pPr>
      <w:r>
        <w:rPr>
          <w:rFonts w:ascii="Aptos" w:hAnsi="Aptos" w:eastAsia="Aptos"/>
          <w:color w:val="1E2631"/>
          <w:sz w:val="18"/>
        </w:rPr>
        <w:t>Le cockpit présente un scénario paramétrique, pas une facture. Les leviers sont le merge incrémental dbt, l’auto-suspend Snowflake, le lifecycle S3, le dimensionnement temporaire de Kinesis et le right-sizing Lambda.</w:t>
      </w:r>
    </w:p>
    <w:tbl>
      <w:tblPr>
        <w:tblW w:type="auto" w:w="0"/>
        <w:jc w:val="center"/>
        <w:tblLayout w:type="fixed"/>
        <w:tblLook w:firstColumn="1" w:firstRow="1" w:lastColumn="0" w:lastRow="0" w:noHBand="0" w:noVBand="1" w:val="04A0"/>
      </w:tblPr>
      <w:tblGrid>
        <w:gridCol w:w="125"/>
        <w:gridCol w:w="9286"/>
      </w:tblGrid>
      <w:tr>
        <w:tc>
          <w:tcPr>
            <w:tcW w:type="dxa" w:w="124"/>
            <w:shd w:fill="E9684A"/>
            <w:tcMar>
              <w:top w:w="0" w:type="dxa"/>
              <w:start w:w="0" w:type="dxa"/>
              <w:bottom w:w="0" w:type="dxa"/>
              <w:end w:w="0" w:type="dxa"/>
            </w:tcMar>
          </w:tcPr>
          <w:p/>
        </w:tc>
        <w:tc>
          <w:tcPr>
            <w:tcW w:type="dxa" w:w="9287"/>
            <w:shd w:fill="FBEDE9"/>
          </w:tcPr>
          <w:p>
            <w:pPr>
              <w:spacing w:after="40"/>
            </w:pPr>
            <w:r/>
            <w:r>
              <w:rPr>
                <w:rFonts w:ascii="Aptos" w:hAnsi="Aptos" w:eastAsia="Aptos"/>
                <w:b/>
                <w:color w:val="111722"/>
                <w:sz w:val="18"/>
              </w:rPr>
              <w:t>Garde-fou de sécurité</w:t>
            </w:r>
          </w:p>
          <w:p>
            <w:pPr>
              <w:spacing w:after="0" w:line="252" w:lineRule="auto"/>
            </w:pPr>
            <w:r>
              <w:rPr>
                <w:rFonts w:ascii="Aptos" w:hAnsi="Aptos" w:eastAsia="Aptos"/>
                <w:color w:val="5C6876"/>
                <w:sz w:val="17"/>
              </w:rPr>
              <w:t>Le module AWS refuse un endpoint non local tant que RETAIL_CORE_ALLOW_REAL_AWS=1 n’est pas défini explicitement. Une démonstration ne peut donc pas créer par erreur des ressources facturées.</w:t>
            </w:r>
          </w:p>
        </w:tc>
      </w:tr>
    </w:tbl>
    <w:p>
      <w:pPr>
        <w:spacing w:after="0"/>
      </w:pPr>
    </w:p>
    <w:p>
      <w:r>
        <w:br w:type="page"/>
      </w:r>
    </w:p>
    <w:p>
      <w:pPr>
        <w:keepNext/>
        <w:spacing w:after="40"/>
      </w:pPr>
      <w:r>
        <w:rPr>
          <w:rFonts w:ascii="Aptos" w:hAnsi="Aptos" w:eastAsia="Aptos"/>
          <w:b/>
          <w:color w:val="E9684A"/>
          <w:sz w:val="16"/>
        </w:rPr>
        <w:t>09</w:t>
      </w:r>
    </w:p>
    <w:p>
      <w:pPr>
        <w:pStyle w:val="Title"/>
        <w:keepNext/>
        <w:spacing w:after="80"/>
      </w:pPr>
      <w:r>
        <w:rPr>
          <w:rFonts w:ascii="Aptos Display" w:hAnsi="Aptos Display" w:eastAsia="Aptos Display"/>
          <w:b/>
          <w:color w:val="111722"/>
          <w:sz w:val="44"/>
        </w:rPr>
        <w:t>Cockpit et expérience utilisateur</w:t>
      </w:r>
    </w:p>
    <w:p>
      <w:pPr>
        <w:pStyle w:val="Subtitle"/>
        <w:spacing w:after="220"/>
      </w:pPr>
      <w:r>
        <w:t>Rendre l’architecture compréhensible par la donnée</w:t>
      </w:r>
    </w:p>
    <w:tbl>
      <w:tblPr>
        <w:tblStyle w:val="TableGrid"/>
        <w:tblW w:type="auto" w:w="0"/>
        <w:jc w:val="center"/>
        <w:tblLayout w:type="fixed"/>
        <w:tblLook w:firstColumn="1" w:firstRow="1" w:lastColumn="0" w:lastRow="0" w:noHBand="0" w:noVBand="1" w:val="04A0"/>
      </w:tblPr>
      <w:tblGrid>
        <w:gridCol w:w="3457"/>
        <w:gridCol w:w="3457"/>
        <w:gridCol w:w="3457"/>
      </w:tblGrid>
      <w:tr>
        <w:trPr>
          <w:tblHeader w:val="true"/>
          <w:cantSplit/>
        </w:trPr>
        <w:tc>
          <w:tcPr>
            <w:tcW w:type="dxa" w:w="1871"/>
            <w:shd w:fill="111722"/>
            <w:vAlign w:val="center"/>
            <w:tcMar>
              <w:top w:w="90" w:type="dxa"/>
              <w:start w:w="110" w:type="dxa"/>
              <w:bottom w:w="90" w:type="dxa"/>
              <w:end w:w="110" w:type="dxa"/>
            </w:tcMar>
          </w:tcPr>
          <w:p>
            <w:pPr>
              <w:spacing w:after="0" w:before="0" w:line="247" w:lineRule="auto"/>
            </w:pPr>
            <w:r/>
            <w:r>
              <w:rPr>
                <w:rFonts w:ascii="Aptos" w:hAnsi="Aptos" w:eastAsia="Aptos"/>
                <w:b/>
                <w:color w:val="FFFFFF"/>
                <w:sz w:val="15"/>
              </w:rPr>
              <w:t>VUE</w:t>
            </w:r>
          </w:p>
        </w:tc>
        <w:tc>
          <w:tcPr>
            <w:tcW w:type="dxa" w:w="4082"/>
            <w:shd w:fill="111722"/>
            <w:vAlign w:val="center"/>
            <w:tcMar>
              <w:top w:w="90" w:type="dxa"/>
              <w:start w:w="110" w:type="dxa"/>
              <w:bottom w:w="90" w:type="dxa"/>
              <w:end w:w="110" w:type="dxa"/>
            </w:tcMar>
          </w:tcPr>
          <w:p>
            <w:pPr>
              <w:spacing w:after="0" w:before="0" w:line="247" w:lineRule="auto"/>
            </w:pPr>
            <w:r/>
            <w:r>
              <w:rPr>
                <w:rFonts w:ascii="Aptos" w:hAnsi="Aptos" w:eastAsia="Aptos"/>
                <w:b/>
                <w:color w:val="FFFFFF"/>
                <w:sz w:val="15"/>
              </w:rPr>
              <w:t>QUESTION TRAITÉE</w:t>
            </w:r>
          </w:p>
        </w:tc>
        <w:tc>
          <w:tcPr>
            <w:tcW w:type="dxa" w:w="3458"/>
            <w:shd w:fill="111722"/>
            <w:vAlign w:val="center"/>
            <w:tcMar>
              <w:top w:w="90" w:type="dxa"/>
              <w:start w:w="110" w:type="dxa"/>
              <w:bottom w:w="90" w:type="dxa"/>
              <w:end w:w="110" w:type="dxa"/>
            </w:tcMar>
          </w:tcPr>
          <w:p>
            <w:pPr>
              <w:spacing w:after="0" w:before="0" w:line="247" w:lineRule="auto"/>
            </w:pPr>
            <w:r/>
            <w:r>
              <w:rPr>
                <w:rFonts w:ascii="Aptos" w:hAnsi="Aptos" w:eastAsia="Aptos"/>
                <w:b/>
                <w:color w:val="FFFFFF"/>
                <w:sz w:val="15"/>
              </w:rPr>
              <w:t>INTERACTION</w:t>
            </w:r>
          </w:p>
        </w:tc>
      </w:tr>
      <w:tr>
        <w:trPr>
          <w:cantSplit/>
        </w:trPr>
        <w:tc>
          <w:tcPr>
            <w:tcW w:type="dxa" w:w="1871"/>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Vue d’ensemble</w:t>
            </w:r>
          </w:p>
        </w:tc>
        <w:tc>
          <w:tcPr>
            <w:tcW w:type="dxa" w:w="4082"/>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où se crée la valeur ?</w:t>
            </w:r>
          </w:p>
        </w:tc>
        <w:tc>
          <w:tcPr>
            <w:tcW w:type="dxa" w:w="3458"/>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canal, période, graphiques</w:t>
            </w:r>
          </w:p>
        </w:tc>
      </w:tr>
      <w:tr>
        <w:trPr>
          <w:cantSplit/>
        </w:trPr>
        <w:tc>
          <w:tcPr>
            <w:tcW w:type="dxa" w:w="1871"/>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Temps réel</w:t>
            </w:r>
          </w:p>
        </w:tc>
        <w:tc>
          <w:tcPr>
            <w:tcW w:type="dxa" w:w="4082"/>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le flux est-il rapide et exact ?</w:t>
            </w:r>
          </w:p>
        </w:tc>
        <w:tc>
          <w:tcPr>
            <w:tcW w:type="dxa" w:w="3458"/>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replay, p95, capacité</w:t>
            </w:r>
          </w:p>
        </w:tc>
      </w:tr>
      <w:tr>
        <w:trPr>
          <w:cantSplit/>
        </w:trPr>
        <w:tc>
          <w:tcPr>
            <w:tcW w:type="dxa" w:w="1871"/>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Stock &amp; ATP</w:t>
            </w:r>
          </w:p>
        </w:tc>
        <w:tc>
          <w:tcPr>
            <w:tcW w:type="dxa" w:w="4082"/>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que puis-je encore promettre ?</w:t>
            </w:r>
          </w:p>
        </w:tc>
        <w:tc>
          <w:tcPr>
            <w:tcW w:type="dxa" w:w="3458"/>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recherche et export CSV</w:t>
            </w:r>
          </w:p>
        </w:tc>
      </w:tr>
      <w:tr>
        <w:trPr>
          <w:cantSplit/>
        </w:trPr>
        <w:tc>
          <w:tcPr>
            <w:tcW w:type="dxa" w:w="1871"/>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Customer 360</w:t>
            </w:r>
          </w:p>
        </w:tc>
        <w:tc>
          <w:tcPr>
            <w:tcW w:type="dxa" w:w="4082"/>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qui est le client omnicanal ?</w:t>
            </w:r>
          </w:p>
        </w:tc>
        <w:tc>
          <w:tcPr>
            <w:tcW w:type="dxa" w:w="3458"/>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RFM, consentement, canaux</w:t>
            </w:r>
          </w:p>
        </w:tc>
      </w:tr>
      <w:tr>
        <w:trPr>
          <w:cantSplit/>
        </w:trPr>
        <w:tc>
          <w:tcPr>
            <w:tcW w:type="dxa" w:w="1871"/>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Pipeline &amp; Ops</w:t>
            </w:r>
          </w:p>
        </w:tc>
        <w:tc>
          <w:tcPr>
            <w:tcW w:type="dxa" w:w="4082"/>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qu’est-ce qui a vraiment tourné ?</w:t>
            </w:r>
          </w:p>
        </w:tc>
        <w:tc>
          <w:tcPr>
            <w:tcW w:type="dxa" w:w="3458"/>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preuves Airflow/dbt/AWS</w:t>
            </w:r>
          </w:p>
        </w:tc>
      </w:tr>
      <w:tr>
        <w:trPr>
          <w:cantSplit/>
        </w:trPr>
        <w:tc>
          <w:tcPr>
            <w:tcW w:type="dxa" w:w="1871"/>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Qualité &amp; SCD2</w:t>
            </w:r>
          </w:p>
        </w:tc>
        <w:tc>
          <w:tcPr>
            <w:tcW w:type="dxa" w:w="4082"/>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puis-je publier ?</w:t>
            </w:r>
          </w:p>
        </w:tc>
        <w:tc>
          <w:tcPr>
            <w:tcW w:type="dxa" w:w="3458"/>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contrats et historique</w:t>
            </w:r>
          </w:p>
        </w:tc>
      </w:tr>
      <w:tr>
        <w:trPr>
          <w:cantSplit/>
        </w:trPr>
        <w:tc>
          <w:tcPr>
            <w:tcW w:type="dxa" w:w="1871"/>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FinOps</w:t>
            </w:r>
          </w:p>
        </w:tc>
        <w:tc>
          <w:tcPr>
            <w:tcW w:type="dxa" w:w="4082"/>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quel coût et quelle capacité ?</w:t>
            </w:r>
          </w:p>
        </w:tc>
        <w:tc>
          <w:tcPr>
            <w:tcW w:type="dxa" w:w="3458"/>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simulation Black Friday</w:t>
            </w:r>
          </w:p>
        </w:tc>
      </w:tr>
    </w:tbl>
    <w:p>
      <w:pPr>
        <w:spacing w:after="0"/>
      </w:pPr>
    </w:p>
    <w:p>
      <w:pPr>
        <w:spacing w:after="140" w:line="269" w:lineRule="auto"/>
      </w:pPr>
      <w:r>
        <w:rPr>
          <w:rFonts w:ascii="Aptos" w:hAnsi="Aptos" w:eastAsia="Aptos"/>
          <w:color w:val="1E2631"/>
          <w:sz w:val="18"/>
        </w:rPr>
        <w:t>L’interface utilise un seul thème sombre, reste lisible sur desktop et mobile et sépare visuellement trois niveaux : exécuté, AWS local et cible de production. La version GitHub Pages conserve les filtres et la simulation sans serveur.</w:t>
      </w:r>
    </w:p>
    <w:p>
      <w:pPr>
        <w:pStyle w:val="Heading2"/>
      </w:pPr>
      <w:r>
        <w:t>Démonstration recommandée</w:t>
      </w:r>
    </w:p>
    <w:p>
      <w:pPr>
        <w:pStyle w:val="ListBullet"/>
        <w:spacing w:after="80" w:line="252" w:lineRule="auto"/>
        <w:ind w:left="272" w:hanging="136"/>
      </w:pPr>
      <w:r>
        <w:rPr>
          <w:rFonts w:ascii="Aptos" w:hAnsi="Aptos" w:eastAsia="Aptos"/>
          <w:color w:val="1E2631"/>
          <w:sz w:val="18"/>
        </w:rPr>
        <w:t>Commencer par la décision métier et changer un filtre.</w:t>
      </w:r>
    </w:p>
    <w:p>
      <w:pPr>
        <w:pStyle w:val="ListBullet"/>
        <w:spacing w:after="80" w:line="252" w:lineRule="auto"/>
        <w:ind w:left="272" w:hanging="136"/>
      </w:pPr>
      <w:r>
        <w:rPr>
          <w:rFonts w:ascii="Aptos" w:hAnsi="Aptos" w:eastAsia="Aptos"/>
          <w:color w:val="1E2631"/>
          <w:sz w:val="18"/>
        </w:rPr>
        <w:t>Montrer le double rapprochement à zéro.</w:t>
      </w:r>
    </w:p>
    <w:p>
      <w:pPr>
        <w:pStyle w:val="ListBullet"/>
        <w:spacing w:after="80" w:line="252" w:lineRule="auto"/>
        <w:ind w:left="272" w:hanging="136"/>
      </w:pPr>
      <w:r>
        <w:rPr>
          <w:rFonts w:ascii="Aptos" w:hAnsi="Aptos" w:eastAsia="Aptos"/>
          <w:color w:val="1E2631"/>
          <w:sz w:val="18"/>
        </w:rPr>
        <w:t>Expliquer l’ATP ou le Customer 360 selon l’interlocuteur.</w:t>
      </w:r>
    </w:p>
    <w:p>
      <w:pPr>
        <w:pStyle w:val="ListBullet"/>
        <w:spacing w:after="80" w:line="252" w:lineRule="auto"/>
        <w:ind w:left="272" w:hanging="136"/>
      </w:pPr>
      <w:r>
        <w:rPr>
          <w:rFonts w:ascii="Aptos" w:hAnsi="Aptos" w:eastAsia="Aptos"/>
          <w:color w:val="1E2631"/>
          <w:sz w:val="18"/>
        </w:rPr>
        <w:t>Ouvrir Pipeline &amp; Ops, puis le run Airflow en succès.</w:t>
      </w:r>
    </w:p>
    <w:p>
      <w:pPr>
        <w:pStyle w:val="ListBullet"/>
        <w:spacing w:after="80" w:line="252" w:lineRule="auto"/>
        <w:ind w:left="272" w:hanging="136"/>
      </w:pPr>
      <w:r>
        <w:rPr>
          <w:rFonts w:ascii="Aptos" w:hAnsi="Aptos" w:eastAsia="Aptos"/>
          <w:color w:val="1E2631"/>
          <w:sz w:val="18"/>
        </w:rPr>
        <w:t>Terminer par le publishing gate et la trajectoire de production.</w:t>
      </w:r>
    </w:p>
    <w:tbl>
      <w:tblPr>
        <w:tblW w:type="auto" w:w="0"/>
        <w:jc w:val="center"/>
        <w:tblLayout w:type="fixed"/>
        <w:tblLook w:firstColumn="1" w:firstRow="1" w:lastColumn="0" w:lastRow="0" w:noHBand="0" w:noVBand="1" w:val="04A0"/>
      </w:tblPr>
      <w:tblGrid>
        <w:gridCol w:w="125"/>
        <w:gridCol w:w="9286"/>
      </w:tblGrid>
      <w:tr>
        <w:tc>
          <w:tcPr>
            <w:tcW w:type="dxa" w:w="124"/>
            <w:shd w:fill="3FBED2"/>
            <w:tcMar>
              <w:top w:w="0" w:type="dxa"/>
              <w:start w:w="0" w:type="dxa"/>
              <w:bottom w:w="0" w:type="dxa"/>
              <w:end w:w="0" w:type="dxa"/>
            </w:tcMar>
          </w:tcPr>
          <w:p/>
        </w:tc>
        <w:tc>
          <w:tcPr>
            <w:tcW w:type="dxa" w:w="9287"/>
            <w:shd w:fill="EAF7F9"/>
          </w:tcPr>
          <w:p>
            <w:pPr>
              <w:spacing w:after="40"/>
            </w:pPr>
            <w:r/>
            <w:r>
              <w:rPr>
                <w:rFonts w:ascii="Aptos" w:hAnsi="Aptos" w:eastAsia="Aptos"/>
                <w:b/>
                <w:color w:val="111722"/>
                <w:sz w:val="18"/>
              </w:rPr>
              <w:t>Message clé</w:t>
            </w:r>
          </w:p>
          <w:p>
            <w:pPr>
              <w:spacing w:after="0" w:line="252" w:lineRule="auto"/>
            </w:pPr>
            <w:r>
              <w:rPr>
                <w:rFonts w:ascii="Aptos" w:hAnsi="Aptos" w:eastAsia="Aptos"/>
                <w:color w:val="5C6876"/>
                <w:sz w:val="17"/>
              </w:rPr>
              <w:t>Le dashboard n’est pas la preuve principale : il rend lisibles les résultats d’un pipeline dont l’exécution, les tests et les rapports sont indépendamment vérifiables.</w:t>
            </w:r>
          </w:p>
        </w:tc>
      </w:tr>
    </w:tbl>
    <w:p>
      <w:pPr>
        <w:spacing w:after="0"/>
      </w:pPr>
    </w:p>
    <w:p>
      <w:r>
        <w:br w:type="page"/>
      </w:r>
    </w:p>
    <w:p>
      <w:pPr>
        <w:keepNext/>
        <w:spacing w:after="40"/>
      </w:pPr>
      <w:r>
        <w:rPr>
          <w:rFonts w:ascii="Aptos" w:hAnsi="Aptos" w:eastAsia="Aptos"/>
          <w:b/>
          <w:color w:val="E9684A"/>
          <w:sz w:val="16"/>
        </w:rPr>
        <w:t>10</w:t>
      </w:r>
    </w:p>
    <w:p>
      <w:pPr>
        <w:pStyle w:val="Title"/>
        <w:keepNext/>
        <w:spacing w:after="80"/>
      </w:pPr>
      <w:r>
        <w:rPr>
          <w:rFonts w:ascii="Aptos Display" w:hAnsi="Aptos Display" w:eastAsia="Aptos Display"/>
          <w:b/>
          <w:color w:val="111722"/>
          <w:sz w:val="44"/>
        </w:rPr>
        <w:t>Exécution et reproductibilité</w:t>
      </w:r>
    </w:p>
    <w:p>
      <w:pPr>
        <w:pStyle w:val="Subtitle"/>
        <w:spacing w:after="220"/>
      </w:pPr>
      <w:r>
        <w:t>Une prise en main simple, puis des contrôles ciblés</w:t>
      </w:r>
    </w:p>
    <w:p>
      <w:pPr>
        <w:pStyle w:val="Heading2"/>
      </w:pPr>
      <w:r>
        <w:t>Plateforme complète</w:t>
      </w:r>
    </w:p>
    <w:tbl>
      <w:tblPr>
        <w:tblW w:type="auto" w:w="0"/>
        <w:tblLook w:firstColumn="1" w:firstRow="1" w:lastColumn="0" w:lastRow="0" w:noHBand="0" w:noVBand="1" w:val="04A0"/>
      </w:tblPr>
      <w:tblGrid>
        <w:gridCol w:w="10370"/>
      </w:tblGrid>
      <w:tr>
        <w:tc>
          <w:tcPr>
            <w:tcW w:type="dxa" w:w="10370"/>
            <w:shd w:fill="111722"/>
            <w:tcMar>
              <w:top w:w="160" w:type="dxa"/>
              <w:start w:w="180" w:type="dxa"/>
              <w:bottom w:w="160" w:type="dxa"/>
              <w:end w:w="180" w:type="dxa"/>
            </w:tcMar>
          </w:tcPr>
          <w:p>
            <w:pPr>
              <w:spacing w:after="20"/>
            </w:pPr>
            <w:r/>
            <w:r>
              <w:rPr>
                <w:rFonts w:ascii="Menlo" w:hAnsi="Menlo" w:eastAsia="Menlo"/>
                <w:color w:val="DCE5ED"/>
                <w:sz w:val="16"/>
              </w:rPr>
              <w:t>docker compose --profile platform up --build -d</w:t>
            </w:r>
          </w:p>
          <w:p>
            <w:pPr>
              <w:spacing w:after="20"/>
            </w:pPr>
            <w:r>
              <w:rPr>
                <w:rFonts w:ascii="Menlo" w:hAnsi="Menlo" w:eastAsia="Menlo"/>
                <w:color w:val="DCE5ED"/>
                <w:sz w:val="16"/>
              </w:rPr>
              <w:t>make airflow-test</w:t>
            </w:r>
          </w:p>
          <w:p>
            <w:pPr>
              <w:spacing w:after="20"/>
            </w:pPr>
            <w:r>
              <w:rPr>
                <w:rFonts w:ascii="Menlo" w:hAnsi="Menlo" w:eastAsia="Menlo"/>
                <w:color w:val="DCE5ED"/>
                <w:sz w:val="16"/>
              </w:rPr>
              <w:t># cockpit : http://127.0.0.1:8042</w:t>
            </w:r>
          </w:p>
          <w:p>
            <w:pPr>
              <w:spacing w:after="20"/>
            </w:pPr>
            <w:r>
              <w:rPr>
                <w:rFonts w:ascii="Menlo" w:hAnsi="Menlo" w:eastAsia="Menlo"/>
                <w:color w:val="DCE5ED"/>
                <w:sz w:val="16"/>
              </w:rPr>
              <w:t># airflow : http://127.0.0.1:8080</w:t>
            </w:r>
          </w:p>
          <w:p>
            <w:pPr>
              <w:spacing w:after="20"/>
            </w:pPr>
            <w:r>
              <w:rPr>
                <w:rFonts w:ascii="Menlo" w:hAnsi="Menlo" w:eastAsia="Menlo"/>
                <w:color w:val="DCE5ED"/>
                <w:sz w:val="16"/>
              </w:rPr>
              <w:t># aws local : http://127.0.0.1:4566</w:t>
            </w:r>
          </w:p>
        </w:tc>
      </w:tr>
    </w:tbl>
    <w:p>
      <w:pPr>
        <w:spacing w:after="0"/>
      </w:pPr>
    </w:p>
    <w:p>
      <w:pPr>
        <w:pStyle w:val="Heading2"/>
      </w:pPr>
      <w:r>
        <w:t>Contrôles ciblés</w:t>
      </w:r>
    </w:p>
    <w:tbl>
      <w:tblPr>
        <w:tblStyle w:val="TableGrid"/>
        <w:tblW w:type="auto" w:w="0"/>
        <w:jc w:val="center"/>
        <w:tblLayout w:type="fixed"/>
        <w:tblLook w:firstColumn="1" w:firstRow="1" w:lastColumn="0" w:lastRow="0" w:noHBand="0" w:noVBand="1" w:val="04A0"/>
      </w:tblPr>
      <w:tblGrid>
        <w:gridCol w:w="3457"/>
        <w:gridCol w:w="3457"/>
        <w:gridCol w:w="3457"/>
      </w:tblGrid>
      <w:tr>
        <w:trPr>
          <w:tblHeader w:val="true"/>
          <w:cantSplit/>
        </w:trPr>
        <w:tc>
          <w:tcPr>
            <w:tcW w:type="dxa" w:w="2268"/>
            <w:shd w:fill="111722"/>
            <w:vAlign w:val="center"/>
            <w:tcMar>
              <w:top w:w="90" w:type="dxa"/>
              <w:start w:w="110" w:type="dxa"/>
              <w:bottom w:w="90" w:type="dxa"/>
              <w:end w:w="110" w:type="dxa"/>
            </w:tcMar>
          </w:tcPr>
          <w:p>
            <w:pPr>
              <w:spacing w:after="0" w:before="0" w:line="247" w:lineRule="auto"/>
            </w:pPr>
            <w:r/>
            <w:r>
              <w:rPr>
                <w:rFonts w:ascii="Aptos" w:hAnsi="Aptos" w:eastAsia="Aptos"/>
                <w:b/>
                <w:color w:val="FFFFFF"/>
                <w:sz w:val="15"/>
              </w:rPr>
              <w:t>COMMANDE</w:t>
            </w:r>
          </w:p>
        </w:tc>
        <w:tc>
          <w:tcPr>
            <w:tcW w:type="dxa" w:w="2835"/>
            <w:shd w:fill="111722"/>
            <w:vAlign w:val="center"/>
            <w:tcMar>
              <w:top w:w="90" w:type="dxa"/>
              <w:start w:w="110" w:type="dxa"/>
              <w:bottom w:w="90" w:type="dxa"/>
              <w:end w:w="110" w:type="dxa"/>
            </w:tcMar>
          </w:tcPr>
          <w:p>
            <w:pPr>
              <w:spacing w:after="0" w:before="0" w:line="247" w:lineRule="auto"/>
            </w:pPr>
            <w:r/>
            <w:r>
              <w:rPr>
                <w:rFonts w:ascii="Aptos" w:hAnsi="Aptos" w:eastAsia="Aptos"/>
                <w:b/>
                <w:color w:val="FFFFFF"/>
                <w:sz w:val="15"/>
              </w:rPr>
              <w:t>BUT</w:t>
            </w:r>
          </w:p>
        </w:tc>
        <w:tc>
          <w:tcPr>
            <w:tcW w:type="dxa" w:w="4309"/>
            <w:shd w:fill="111722"/>
            <w:vAlign w:val="center"/>
            <w:tcMar>
              <w:top w:w="90" w:type="dxa"/>
              <w:start w:w="110" w:type="dxa"/>
              <w:bottom w:w="90" w:type="dxa"/>
              <w:end w:w="110" w:type="dxa"/>
            </w:tcMar>
          </w:tcPr>
          <w:p>
            <w:pPr>
              <w:spacing w:after="0" w:before="0" w:line="247" w:lineRule="auto"/>
            </w:pPr>
            <w:r/>
            <w:r>
              <w:rPr>
                <w:rFonts w:ascii="Aptos" w:hAnsi="Aptos" w:eastAsia="Aptos"/>
                <w:b/>
                <w:color w:val="FFFFFF"/>
                <w:sz w:val="15"/>
              </w:rPr>
              <w:t>PREUVE ATTENDUE</w:t>
            </w:r>
          </w:p>
        </w:tc>
      </w:tr>
      <w:tr>
        <w:trPr>
          <w:cantSplit/>
        </w:trPr>
        <w:tc>
          <w:tcPr>
            <w:tcW w:type="dxa" w:w="2268"/>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make test</w:t>
            </w:r>
          </w:p>
        </w:tc>
        <w:tc>
          <w:tcPr>
            <w:tcW w:type="dxa" w:w="2835"/>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suite Python rapide</w:t>
            </w:r>
          </w:p>
        </w:tc>
        <w:tc>
          <w:tcPr>
            <w:tcW w:type="dxa" w:w="4309"/>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15 tests minimum en succès</w:t>
            </w:r>
          </w:p>
        </w:tc>
      </w:tr>
      <w:tr>
        <w:trPr>
          <w:cantSplit/>
        </w:trPr>
        <w:tc>
          <w:tcPr>
            <w:tcW w:type="dxa" w:w="2268"/>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make dbt-docker</w:t>
            </w:r>
          </w:p>
        </w:tc>
        <w:tc>
          <w:tcPr>
            <w:tcW w:type="dxa" w:w="2835"/>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build dbt isolé</w:t>
            </w:r>
          </w:p>
        </w:tc>
        <w:tc>
          <w:tcPr>
            <w:tcW w:type="dxa" w:w="4309"/>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19 modèles, 78 tests, 1 snapshot</w:t>
            </w:r>
          </w:p>
        </w:tc>
      </w:tr>
      <w:tr>
        <w:trPr>
          <w:cantSplit/>
        </w:trPr>
        <w:tc>
          <w:tcPr>
            <w:tcW w:type="dxa" w:w="2268"/>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make aws-local</w:t>
            </w:r>
          </w:p>
        </w:tc>
        <w:tc>
          <w:tcPr>
            <w:tcW w:type="dxa" w:w="2835"/>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API AWS locales</w:t>
            </w:r>
          </w:p>
        </w:tc>
        <w:tc>
          <w:tcPr>
            <w:tcW w:type="dxa" w:w="4309"/>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S3/Kinesis/CloudWatch PASS</w:t>
            </w:r>
          </w:p>
        </w:tc>
      </w:tr>
      <w:tr>
        <w:trPr>
          <w:cantSplit/>
        </w:trPr>
        <w:tc>
          <w:tcPr>
            <w:tcW w:type="dxa" w:w="2268"/>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make airflow-test</w:t>
            </w:r>
          </w:p>
        </w:tc>
        <w:tc>
          <w:tcPr>
            <w:tcW w:type="dxa" w:w="2835"/>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DAG complet</w:t>
            </w:r>
          </w:p>
        </w:tc>
        <w:tc>
          <w:tcPr>
            <w:tcW w:type="dxa" w:w="4309"/>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six tâches et run SUCCESS</w:t>
            </w:r>
          </w:p>
        </w:tc>
      </w:tr>
      <w:tr>
        <w:trPr>
          <w:cantSplit/>
        </w:trPr>
        <w:tc>
          <w:tcPr>
            <w:tcW w:type="dxa" w:w="2268"/>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make terraform-validate</w:t>
            </w:r>
          </w:p>
        </w:tc>
        <w:tc>
          <w:tcPr>
            <w:tcW w:type="dxa" w:w="2835"/>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infrastructure</w:t>
            </w:r>
          </w:p>
        </w:tc>
        <w:tc>
          <w:tcPr>
            <w:tcW w:type="dxa" w:w="4309"/>
            <w:vAlign w:val="center"/>
            <w:tcMar>
              <w:top w:w="90" w:type="dxa"/>
              <w:start w:w="110" w:type="dxa"/>
              <w:bottom w:w="90" w:type="dxa"/>
              <w:end w:w="110" w:type="dxa"/>
            </w:tcMar>
          </w:tcPr>
          <w:p>
            <w:pPr>
              <w:spacing w:after="0" w:before="0" w:line="247" w:lineRule="auto"/>
            </w:pPr>
            <w:r/>
            <w:r>
              <w:rPr>
                <w:rFonts w:ascii="Aptos" w:hAnsi="Aptos" w:eastAsia="Aptos"/>
                <w:b w:val="0"/>
                <w:color w:val="1E2631"/>
                <w:sz w:val="16"/>
              </w:rPr>
              <w:t>format et validation conformes</w:t>
            </w:r>
          </w:p>
        </w:tc>
      </w:tr>
    </w:tbl>
    <w:p>
      <w:pPr>
        <w:spacing w:after="0"/>
      </w:pPr>
    </w:p>
    <w:p>
      <w:pPr>
        <w:pStyle w:val="Heading2"/>
      </w:pPr>
      <w:r>
        <w:t>Artefacts de run</w:t>
      </w:r>
    </w:p>
    <w:p>
      <w:pPr>
        <w:pStyle w:val="ListBullet"/>
        <w:spacing w:after="50" w:line="252" w:lineRule="auto"/>
        <w:ind w:left="272" w:hanging="136"/>
      </w:pPr>
      <w:r>
        <w:rPr>
          <w:rFonts w:ascii="Aptos" w:hAnsi="Aptos" w:eastAsia="Aptos"/>
          <w:color w:val="1E2631"/>
          <w:sz w:val="18"/>
        </w:rPr>
        <w:t>quality_report.json : KPI, 24 contrôles et phases Python.</w:t>
      </w:r>
    </w:p>
    <w:p>
      <w:pPr>
        <w:pStyle w:val="ListBullet"/>
        <w:spacing w:after="50" w:line="252" w:lineRule="auto"/>
        <w:ind w:left="272" w:hanging="136"/>
      </w:pPr>
      <w:r>
        <w:rPr>
          <w:rFonts w:ascii="Aptos" w:hAnsi="Aptos" w:eastAsia="Aptos"/>
          <w:color w:val="1E2631"/>
          <w:sz w:val="18"/>
        </w:rPr>
        <w:t>airbyte_source_report.json : catalogue et volumes source.</w:t>
      </w:r>
    </w:p>
    <w:p>
      <w:pPr>
        <w:pStyle w:val="ListBullet"/>
        <w:spacing w:after="50" w:line="252" w:lineRule="auto"/>
        <w:ind w:left="272" w:hanging="136"/>
      </w:pPr>
      <w:r>
        <w:rPr>
          <w:rFonts w:ascii="Aptos" w:hAnsi="Aptos" w:eastAsia="Aptos"/>
          <w:color w:val="1E2631"/>
          <w:sz w:val="18"/>
        </w:rPr>
        <w:t>aws_local_report.json : objets, événements, validation et métriques.</w:t>
      </w:r>
    </w:p>
    <w:p>
      <w:pPr>
        <w:pStyle w:val="ListBullet"/>
        <w:spacing w:after="50" w:line="252" w:lineRule="auto"/>
        <w:ind w:left="272" w:hanging="136"/>
      </w:pPr>
      <w:r>
        <w:rPr>
          <w:rFonts w:ascii="Aptos" w:hAnsi="Aptos" w:eastAsia="Aptos"/>
          <w:color w:val="1E2631"/>
          <w:sz w:val="18"/>
        </w:rPr>
        <w:t>dbt_run_report.json : résumé construit depuis run_results.json.</w:t>
      </w:r>
    </w:p>
    <w:p>
      <w:pPr>
        <w:pStyle w:val="ListBullet"/>
        <w:spacing w:after="50" w:line="252" w:lineRule="auto"/>
        <w:ind w:left="272" w:hanging="136"/>
      </w:pPr>
      <w:r>
        <w:rPr>
          <w:rFonts w:ascii="Aptos" w:hAnsi="Aptos" w:eastAsia="Aptos"/>
          <w:color w:val="1E2631"/>
          <w:sz w:val="18"/>
        </w:rPr>
        <w:t>platform_reconciliation.json : décision globale.</w:t>
      </w:r>
    </w:p>
    <w:p>
      <w:pPr>
        <w:pStyle w:val="ListBullet"/>
        <w:spacing w:after="50" w:line="252" w:lineRule="auto"/>
        <w:ind w:left="272" w:hanging="136"/>
      </w:pPr>
      <w:r>
        <w:rPr>
          <w:rFonts w:ascii="Aptos" w:hAnsi="Aptos" w:eastAsia="Aptos"/>
          <w:color w:val="1E2631"/>
          <w:sz w:val="18"/>
        </w:rPr>
        <w:t>publish_manifest.json : SLA et artefacts publiés.</w:t>
      </w:r>
    </w:p>
    <w:tbl>
      <w:tblPr>
        <w:tblW w:type="auto" w:w="0"/>
        <w:jc w:val="center"/>
        <w:tblLayout w:type="fixed"/>
        <w:tblLook w:firstColumn="1" w:firstRow="1" w:lastColumn="0" w:lastRow="0" w:noHBand="0" w:noVBand="1" w:val="04A0"/>
      </w:tblPr>
      <w:tblGrid>
        <w:gridCol w:w="125"/>
        <w:gridCol w:w="9286"/>
      </w:tblGrid>
      <w:tr>
        <w:tc>
          <w:tcPr>
            <w:tcW w:type="dxa" w:w="124"/>
            <w:shd w:fill="3FBED2"/>
            <w:tcMar>
              <w:top w:w="0" w:type="dxa"/>
              <w:start w:w="0" w:type="dxa"/>
              <w:bottom w:w="0" w:type="dxa"/>
              <w:end w:w="0" w:type="dxa"/>
            </w:tcMar>
          </w:tcPr>
          <w:p/>
        </w:tc>
        <w:tc>
          <w:tcPr>
            <w:tcW w:type="dxa" w:w="9287"/>
            <w:shd w:fill="EAF7F9"/>
          </w:tcPr>
          <w:p>
            <w:pPr>
              <w:spacing w:after="40"/>
            </w:pPr>
            <w:r/>
            <w:r>
              <w:rPr>
                <w:rFonts w:ascii="Aptos" w:hAnsi="Aptos" w:eastAsia="Aptos"/>
                <w:b/>
                <w:color w:val="111722"/>
                <w:sz w:val="18"/>
              </w:rPr>
              <w:t>CI</w:t>
            </w:r>
          </w:p>
          <w:p>
            <w:pPr>
              <w:spacing w:after="0" w:line="252" w:lineRule="auto"/>
            </w:pPr>
            <w:r>
              <w:rPr>
                <w:rFonts w:ascii="Aptos" w:hAnsi="Aptos" w:eastAsia="Aptos"/>
                <w:color w:val="5C6876"/>
                <w:sz w:val="17"/>
              </w:rPr>
              <w:t>Le workflow GitHub exécute la suite Python, dbt, le contrôle JavaScript, Compose, le build Docker, la génération statique et la validation Terraform.</w:t>
            </w:r>
          </w:p>
        </w:tc>
      </w:tr>
    </w:tbl>
    <w:p>
      <w:pPr>
        <w:spacing w:after="0"/>
      </w:pPr>
    </w:p>
    <w:p>
      <w:r>
        <w:br w:type="page"/>
      </w:r>
    </w:p>
    <w:p>
      <w:pPr>
        <w:keepNext/>
        <w:spacing w:after="40"/>
      </w:pPr>
      <w:r>
        <w:rPr>
          <w:rFonts w:ascii="Aptos" w:hAnsi="Aptos" w:eastAsia="Aptos"/>
          <w:b/>
          <w:color w:val="E9684A"/>
          <w:sz w:val="16"/>
        </w:rPr>
        <w:t>11</w:t>
      </w:r>
    </w:p>
    <w:p>
      <w:pPr>
        <w:pStyle w:val="Title"/>
        <w:keepNext/>
        <w:spacing w:after="80"/>
      </w:pPr>
      <w:r>
        <w:rPr>
          <w:rFonts w:ascii="Aptos Display" w:hAnsi="Aptos Display" w:eastAsia="Aptos Display"/>
          <w:b/>
          <w:color w:val="111722"/>
          <w:sz w:val="44"/>
        </w:rPr>
        <w:t>Trajectoire de production</w:t>
      </w:r>
    </w:p>
    <w:p>
      <w:pPr>
        <w:pStyle w:val="Subtitle"/>
        <w:spacing w:after="220"/>
      </w:pPr>
      <w:r>
        <w:t>Conserver le modèle, durcir l’exploitation</w:t>
      </w:r>
    </w:p>
    <w:tbl>
      <w:tblPr>
        <w:tblStyle w:val="TableGrid"/>
        <w:tblW w:type="auto" w:w="0"/>
        <w:jc w:val="center"/>
        <w:tblLayout w:type="fixed"/>
        <w:tblLook w:firstColumn="1" w:firstRow="1" w:lastColumn="0" w:lastRow="0" w:noHBand="0" w:noVBand="1" w:val="04A0"/>
      </w:tblPr>
      <w:tblGrid>
        <w:gridCol w:w="3457"/>
        <w:gridCol w:w="3457"/>
        <w:gridCol w:w="3457"/>
      </w:tblGrid>
      <w:tr>
        <w:trPr>
          <w:tblHeader w:val="true"/>
          <w:cantSplit/>
        </w:trPr>
        <w:tc>
          <w:tcPr>
            <w:tcW w:type="dxa" w:w="2268"/>
            <w:shd w:fill="111722"/>
            <w:vAlign w:val="center"/>
            <w:tcMar>
              <w:top w:w="90" w:type="dxa"/>
              <w:start w:w="110" w:type="dxa"/>
              <w:bottom w:w="90" w:type="dxa"/>
              <w:end w:w="110" w:type="dxa"/>
            </w:tcMar>
          </w:tcPr>
          <w:p>
            <w:pPr>
              <w:spacing w:after="0" w:before="0" w:line="247" w:lineRule="auto"/>
            </w:pPr>
            <w:r/>
            <w:r>
              <w:rPr>
                <w:rFonts w:ascii="Aptos" w:hAnsi="Aptos" w:eastAsia="Aptos"/>
                <w:b/>
                <w:color w:val="FFFFFF"/>
                <w:sz w:val="15"/>
              </w:rPr>
              <w:t>DÉMONSTRATEUR</w:t>
            </w:r>
          </w:p>
        </w:tc>
        <w:tc>
          <w:tcPr>
            <w:tcW w:type="dxa" w:w="2608"/>
            <w:shd w:fill="111722"/>
            <w:vAlign w:val="center"/>
            <w:tcMar>
              <w:top w:w="90" w:type="dxa"/>
              <w:start w:w="110" w:type="dxa"/>
              <w:bottom w:w="90" w:type="dxa"/>
              <w:end w:w="110" w:type="dxa"/>
            </w:tcMar>
          </w:tcPr>
          <w:p>
            <w:pPr>
              <w:spacing w:after="0" w:before="0" w:line="247" w:lineRule="auto"/>
            </w:pPr>
            <w:r/>
            <w:r>
              <w:rPr>
                <w:rFonts w:ascii="Aptos" w:hAnsi="Aptos" w:eastAsia="Aptos"/>
                <w:b/>
                <w:color w:val="FFFFFF"/>
                <w:sz w:val="15"/>
              </w:rPr>
              <w:t>PRODUCTION</w:t>
            </w:r>
          </w:p>
        </w:tc>
        <w:tc>
          <w:tcPr>
            <w:tcW w:type="dxa" w:w="4536"/>
            <w:shd w:fill="111722"/>
            <w:vAlign w:val="center"/>
            <w:tcMar>
              <w:top w:w="90" w:type="dxa"/>
              <w:start w:w="110" w:type="dxa"/>
              <w:bottom w:w="90" w:type="dxa"/>
              <w:end w:w="110" w:type="dxa"/>
            </w:tcMar>
          </w:tcPr>
          <w:p>
            <w:pPr>
              <w:spacing w:after="0" w:before="0" w:line="247" w:lineRule="auto"/>
            </w:pPr>
            <w:r/>
            <w:r>
              <w:rPr>
                <w:rFonts w:ascii="Aptos" w:hAnsi="Aptos" w:eastAsia="Aptos"/>
                <w:b/>
                <w:color w:val="FFFFFF"/>
                <w:sz w:val="15"/>
              </w:rPr>
              <w:t>TRAVAIL D’INDUSTRIALISATION</w:t>
            </w:r>
          </w:p>
        </w:tc>
      </w:tr>
      <w:tr>
        <w:trPr>
          <w:cantSplit/>
        </w:trPr>
        <w:tc>
          <w:tcPr>
            <w:tcW w:type="dxa" w:w="2268"/>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CSV synthétiques</w:t>
            </w:r>
          </w:p>
        </w:tc>
        <w:tc>
          <w:tcPr>
            <w:tcW w:type="dxa" w:w="2608"/>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CRM/ERP/PLM/POS réels</w:t>
            </w:r>
          </w:p>
        </w:tc>
        <w:tc>
          <w:tcPr>
            <w:tcW w:type="dxa" w:w="4536"/>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authentification, CDC, contrats et ownership</w:t>
            </w:r>
          </w:p>
        </w:tc>
      </w:tr>
      <w:tr>
        <w:trPr>
          <w:cantSplit/>
        </w:trPr>
        <w:tc>
          <w:tcPr>
            <w:tcW w:type="dxa" w:w="2268"/>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LocalStack</w:t>
            </w:r>
          </w:p>
        </w:tc>
        <w:tc>
          <w:tcPr>
            <w:tcW w:type="dxa" w:w="2608"/>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comptes AWS isolés</w:t>
            </w:r>
          </w:p>
        </w:tc>
        <w:tc>
          <w:tcPr>
            <w:tcW w:type="dxa" w:w="4536"/>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réseau privé, KMS, Secrets Manager, tagging</w:t>
            </w:r>
          </w:p>
        </w:tc>
      </w:tr>
      <w:tr>
        <w:trPr>
          <w:cantSplit/>
        </w:trPr>
        <w:tc>
          <w:tcPr>
            <w:tcW w:type="dxa" w:w="2268"/>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DuckDB</w:t>
            </w:r>
          </w:p>
        </w:tc>
        <w:tc>
          <w:tcPr>
            <w:tcW w:type="dxa" w:w="2608"/>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Snowflake</w:t>
            </w:r>
          </w:p>
        </w:tc>
        <w:tc>
          <w:tcPr>
            <w:tcW w:type="dxa" w:w="4536"/>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rôles, warehouses, coûts, clustering et accès</w:t>
            </w:r>
          </w:p>
        </w:tc>
      </w:tr>
      <w:tr>
        <w:trPr>
          <w:cantSplit/>
        </w:trPr>
        <w:tc>
          <w:tcPr>
            <w:tcW w:type="dxa" w:w="2268"/>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Airflow standalone</w:t>
            </w:r>
          </w:p>
        </w:tc>
        <w:tc>
          <w:tcPr>
            <w:tcW w:type="dxa" w:w="2608"/>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MWAA / plateforme supervisée</w:t>
            </w:r>
          </w:p>
        </w:tc>
        <w:tc>
          <w:tcPr>
            <w:tcW w:type="dxa" w:w="4536"/>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HA, logs centralisés, alerting et backfills</w:t>
            </w:r>
          </w:p>
        </w:tc>
      </w:tr>
      <w:tr>
        <w:trPr>
          <w:cantSplit/>
        </w:trPr>
        <w:tc>
          <w:tcPr>
            <w:tcW w:type="dxa" w:w="2268"/>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alarme locale</w:t>
            </w:r>
          </w:p>
        </w:tc>
        <w:tc>
          <w:tcPr>
            <w:tcW w:type="dxa" w:w="2608"/>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SLO et astreinte</w:t>
            </w:r>
          </w:p>
        </w:tc>
        <w:tc>
          <w:tcPr>
            <w:tcW w:type="dxa" w:w="4536"/>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seuils, routage, runbooks et post-mortems</w:t>
            </w:r>
          </w:p>
        </w:tc>
      </w:tr>
      <w:tr>
        <w:trPr>
          <w:cantSplit/>
        </w:trPr>
        <w:tc>
          <w:tcPr>
            <w:tcW w:type="dxa" w:w="2268"/>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simulation</w:t>
            </w:r>
          </w:p>
        </w:tc>
        <w:tc>
          <w:tcPr>
            <w:tcW w:type="dxa" w:w="2608"/>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test de charge</w:t>
            </w:r>
          </w:p>
        </w:tc>
        <w:tc>
          <w:tcPr>
            <w:tcW w:type="dxa" w:w="4536"/>
            <w:shd w:fill="F3F5F7"/>
            <w:vAlign w:val="center"/>
            <w:tcMar>
              <w:top w:w="90" w:type="dxa"/>
              <w:start w:w="110" w:type="dxa"/>
              <w:bottom w:w="90" w:type="dxa"/>
              <w:end w:w="110" w:type="dxa"/>
            </w:tcMar>
          </w:tcPr>
          <w:p>
            <w:pPr>
              <w:spacing w:after="0" w:before="0" w:line="247" w:lineRule="auto"/>
            </w:pPr>
            <w:r/>
            <w:r>
              <w:rPr>
                <w:rFonts w:ascii="Aptos" w:hAnsi="Aptos" w:eastAsia="Aptos"/>
                <w:b w:val="0"/>
                <w:color w:val="1E2631"/>
                <w:sz w:val="15"/>
              </w:rPr>
              <w:t>volumétrie, chaos, DLQ et reprise</w:t>
            </w:r>
          </w:p>
        </w:tc>
      </w:tr>
    </w:tbl>
    <w:p>
      <w:pPr>
        <w:spacing w:after="0"/>
      </w:pPr>
    </w:p>
    <w:p>
      <w:pPr>
        <w:pStyle w:val="Heading2"/>
      </w:pPr>
      <w:r>
        <w:t>Priorités</w:t>
      </w:r>
    </w:p>
    <w:p>
      <w:pPr>
        <w:pStyle w:val="ListBullet"/>
        <w:spacing w:after="80" w:line="252" w:lineRule="auto"/>
        <w:ind w:left="272" w:hanging="136"/>
      </w:pPr>
      <w:r>
        <w:rPr>
          <w:rFonts w:ascii="Aptos" w:hAnsi="Aptos" w:eastAsia="Aptos"/>
          <w:color w:val="1E2631"/>
          <w:sz w:val="18"/>
        </w:rPr>
        <w:t>Brancher une première source réelle et mesurer son SLA.</w:t>
      </w:r>
    </w:p>
    <w:p>
      <w:pPr>
        <w:pStyle w:val="ListBullet"/>
        <w:spacing w:after="80" w:line="252" w:lineRule="auto"/>
        <w:ind w:left="272" w:hanging="136"/>
      </w:pPr>
      <w:r>
        <w:rPr>
          <w:rFonts w:ascii="Aptos" w:hAnsi="Aptos" w:eastAsia="Aptos"/>
          <w:color w:val="1E2631"/>
          <w:sz w:val="18"/>
        </w:rPr>
        <w:t>Déployer l’infrastructure par environnement avec revue Terraform.</w:t>
      </w:r>
    </w:p>
    <w:p>
      <w:pPr>
        <w:pStyle w:val="ListBullet"/>
        <w:spacing w:after="80" w:line="252" w:lineRule="auto"/>
        <w:ind w:left="272" w:hanging="136"/>
      </w:pPr>
      <w:r>
        <w:rPr>
          <w:rFonts w:ascii="Aptos" w:hAnsi="Aptos" w:eastAsia="Aptos"/>
          <w:color w:val="1E2631"/>
          <w:sz w:val="18"/>
        </w:rPr>
        <w:t>Connecter dbt à Snowflake et comparer résultats/coûts avec DuckDB.</w:t>
      </w:r>
    </w:p>
    <w:p>
      <w:pPr>
        <w:pStyle w:val="ListBullet"/>
        <w:spacing w:after="80" w:line="252" w:lineRule="auto"/>
        <w:ind w:left="272" w:hanging="136"/>
      </w:pPr>
      <w:r>
        <w:rPr>
          <w:rFonts w:ascii="Aptos" w:hAnsi="Aptos" w:eastAsia="Aptos"/>
          <w:color w:val="1E2631"/>
          <w:sz w:val="18"/>
        </w:rPr>
        <w:t>Ajouter DLQ, schema registry, lineage et ownership par domaine.</w:t>
      </w:r>
    </w:p>
    <w:p>
      <w:pPr>
        <w:pStyle w:val="ListBullet"/>
        <w:spacing w:after="80" w:line="252" w:lineRule="auto"/>
        <w:ind w:left="272" w:hanging="136"/>
      </w:pPr>
      <w:r>
        <w:rPr>
          <w:rFonts w:ascii="Aptos" w:hAnsi="Aptos" w:eastAsia="Aptos"/>
          <w:color w:val="1E2631"/>
          <w:sz w:val="18"/>
        </w:rPr>
        <w:t>Tester la capacité et documenter les procédures de reprise.</w:t>
      </w:r>
    </w:p>
    <w:p>
      <w:pPr>
        <w:pStyle w:val="Heading2"/>
      </w:pPr>
      <w:r>
        <w:t>Limites assumées</w:t>
      </w:r>
    </w:p>
    <w:p>
      <w:pPr>
        <w:spacing w:after="140" w:line="269" w:lineRule="auto"/>
      </w:pPr>
      <w:r>
        <w:rPr>
          <w:rFonts w:ascii="Aptos" w:hAnsi="Aptos" w:eastAsia="Aptos"/>
          <w:color w:val="1E2631"/>
          <w:sz w:val="18"/>
        </w:rPr>
        <w:t>LocalStack ne reproduit pas toutes les contraintes AWS ; DuckDB n’est pas Snowflake ; le connecteur lit des sources synthétiques ; la capacité et les coûts sont des estimations. Ces limites sont explicites afin de ne jamais confondre preuve locale et exploitation réelle.</w:t>
      </w:r>
    </w:p>
    <w:tbl>
      <w:tblPr>
        <w:tblW w:type="auto" w:w="0"/>
        <w:jc w:val="center"/>
        <w:tblLayout w:type="fixed"/>
        <w:tblLook w:firstColumn="1" w:firstRow="1" w:lastColumn="0" w:lastRow="0" w:noHBand="0" w:noVBand="1" w:val="04A0"/>
      </w:tblPr>
      <w:tblGrid>
        <w:gridCol w:w="125"/>
        <w:gridCol w:w="9286"/>
      </w:tblGrid>
      <w:tr>
        <w:tc>
          <w:tcPr>
            <w:tcW w:type="dxa" w:w="124"/>
            <w:shd w:fill="E9684A"/>
            <w:tcMar>
              <w:top w:w="0" w:type="dxa"/>
              <w:start w:w="0" w:type="dxa"/>
              <w:bottom w:w="0" w:type="dxa"/>
              <w:end w:w="0" w:type="dxa"/>
            </w:tcMar>
          </w:tcPr>
          <w:p/>
        </w:tc>
        <w:tc>
          <w:tcPr>
            <w:tcW w:type="dxa" w:w="9287"/>
            <w:shd w:fill="FBEDE9"/>
          </w:tcPr>
          <w:p>
            <w:pPr>
              <w:spacing w:after="40"/>
            </w:pPr>
            <w:r/>
            <w:r>
              <w:rPr>
                <w:rFonts w:ascii="Aptos" w:hAnsi="Aptos" w:eastAsia="Aptos"/>
                <w:b/>
                <w:color w:val="111722"/>
                <w:sz w:val="18"/>
              </w:rPr>
              <w:t>Conclusion</w:t>
            </w:r>
          </w:p>
          <w:p>
            <w:pPr>
              <w:spacing w:after="0" w:line="252" w:lineRule="auto"/>
            </w:pPr>
            <w:r>
              <w:rPr>
                <w:rFonts w:ascii="Aptos" w:hAnsi="Aptos" w:eastAsia="Aptos"/>
                <w:color w:val="5C6876"/>
                <w:sz w:val="17"/>
              </w:rPr>
              <w:t>Ce projet démontre ma capacité à relier architecture, Python, SQL, cloud et besoin retail. Je définis les grains et les invariants, j’automatise les preuves, puis je rends le résultat utilisable et observable.</w:t>
            </w:r>
          </w:p>
        </w:tc>
      </w:tr>
    </w:tbl>
    <w:p>
      <w:pPr>
        <w:spacing w:after="0"/>
      </w:pPr>
    </w:p>
    <w:p>
      <w:pPr>
        <w:spacing w:before="280"/>
        <w:jc w:val="center"/>
      </w:pPr>
      <w:r>
        <w:rPr>
          <w:rFonts w:ascii="Aptos" w:hAnsi="Aptos" w:eastAsia="Aptos"/>
          <w:b/>
          <w:color w:val="111722"/>
          <w:sz w:val="18"/>
        </w:rPr>
        <w:t>IKEL OUEDRAOGO  •  DATA ENGINEER</w:t>
      </w:r>
    </w:p>
    <w:sectPr w:rsidR="00FC693F" w:rsidRPr="0006063C" w:rsidSect="00034616">
      <w:headerReference w:type="default" r:id="rId9"/>
      <w:footerReference w:type="default" r:id="rId10"/>
      <w:pgSz w:w="12240" w:h="15840"/>
      <w:pgMar w:top="879" w:right="935" w:bottom="822" w:left="935"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pPr>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7087"/>
      <w:gridCol w:w="2324"/>
    </w:tblGrid>
    <w:tr>
      <w:tc>
        <w:tcPr>
          <w:tcW w:type="dxa" w:w="7087"/>
          <w:vAlign w:val="center"/>
          <w:tcMar>
            <w:top w:w="0" w:type="dxa"/>
            <w:start w:w="0" w:type="dxa"/>
            <w:bottom w:w="0" w:type="dxa"/>
            <w:end w:w="0" w:type="dxa"/>
          </w:tcMar>
        </w:tcPr>
        <w:p>
          <w:pPr>
            <w:spacing w:after="0" w:before="0" w:line="247" w:lineRule="auto"/>
            <w:jc w:val="left"/>
          </w:pPr>
          <w:r/>
          <w:r>
            <w:rPr>
              <w:rFonts w:ascii="Aptos" w:hAnsi="Aptos" w:eastAsia="Aptos"/>
              <w:b/>
              <w:color w:val="5C6876"/>
              <w:sz w:val="15"/>
            </w:rPr>
            <w:t>IKEL OUEDRAOGO   •   DATA ENGINEER</w:t>
          </w:r>
        </w:p>
      </w:tc>
      <w:tc>
        <w:tcPr>
          <w:tcW w:type="dxa" w:w="2324"/>
          <w:tcMar>
            <w:top w:w="0" w:type="dxa"/>
            <w:start w:w="0" w:type="dxa"/>
            <w:bottom w:w="0" w:type="dxa"/>
            <w:end w:w="0" w:type="dxa"/>
          </w:tcMar>
        </w:tcPr>
        <w:p>
          <w:pPr>
            <w:jc w:val="right"/>
          </w:pPr>
          <w:r/>
          <w:r>
            <w:rPr>
              <w:rFonts w:ascii="Aptos" w:hAnsi="Aptos" w:eastAsia="Aptos"/>
              <w:color w:val="5C6876"/>
              <w:sz w:val="16"/>
            </w:rPr>
            <w:t xml:space="preserve">PAGE </w:t>
            <w:fldChar w:fldCharType="begin"/>
            <w:instrText xml:space="preserve">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Aptos" w:hAnsi="Aptos" w:eastAsia="Aptos"/>
        <w:b/>
        <w:color w:val="5C6876"/>
        <w:sz w:val="15"/>
      </w:rPr>
      <w:t>RETAIL CORE LAKEHOUSE   /   DOSSIER DE CONCEPTION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eastAsia="Aptos"/>
      <w:color w:val="1E2631"/>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11722"/>
      <w:sz w:val="2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eastAsia="Aptos Display"/>
      <w:b/>
      <w:bCs/>
      <w:color w:val="111722"/>
      <w:sz w:val="28"/>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ptos Display" w:hAnsi="Aptos Display" w:eastAsia="Aptos Display"/>
      <w:b/>
      <w:bCs/>
      <w:color w:val="E9684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color w:val="111722"/>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5C6876"/>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ikel0.github.io/retail-core-lakehouse/" TargetMode="External"/><Relationship Id="rId12" Type="http://schemas.openxmlformats.org/officeDocument/2006/relationships/hyperlink" Target="https://github.com/Ikel0/retail-core-lakehou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Retail Core Lakehouse — Dossier de conception et d’exploitation</dc:title>
  <dc:subject>Plateforme Data Engineering retail omnicanale</dc:subject>
  <dc:creator>Ikel Ouedraogo</dc:creator>
  <cp:keywords>Data Engineering, Retail, Airflow, dbt, AWS, Kinesis, Snowflake, ATP</cp:keywords>
  <dc:description>Dossier professionnel du projet Retail Core Lakehouse.</dc:description>
  <cp:lastModifiedBy>Ikel Ouedraogo</cp:lastModifiedBy>
  <cp:revision>1</cp:revision>
  <dcterms:created xsi:type="dcterms:W3CDTF">2026-09-02T18:30:00Z</dcterms:created>
  <dcterms:modified xsi:type="dcterms:W3CDTF">2026-09-02T18:30:00Z</dcterms:modified>
  <cp:category>Data Engineering</cp:category>
</cp:coreProperties>
</file>