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Calibri" w:hAnsi="Calibri"/>
          <w:b/>
          <w:i w:val="0"/>
          <w:color w:val="E65D3D"/>
          <w:sz w:val="20"/>
        </w:rPr>
        <w:t>DATA ENGINEERING · RETAIL CORE</w:t>
      </w:r>
    </w:p>
    <w:p>
      <w:pPr>
        <w:spacing w:after="160"/>
        <w:jc w:val="center"/>
      </w:pPr>
      <w:r>
        <w:rPr>
          <w:rFonts w:ascii="Calibri" w:hAnsi="Calibri"/>
          <w:b/>
          <w:i w:val="0"/>
          <w:color w:val="0B2545"/>
          <w:sz w:val="60"/>
        </w:rPr>
        <w:t>Retail Core Lakehouse</w:t>
      </w:r>
    </w:p>
    <w:p>
      <w:pPr>
        <w:spacing w:after="680"/>
        <w:jc w:val="center"/>
      </w:pPr>
      <w:r>
        <w:rPr>
          <w:rFonts w:ascii="Calibri" w:hAnsi="Calibri"/>
          <w:b w:val="0"/>
          <w:i w:val="0"/>
          <w:color w:val="1F4D78"/>
          <w:sz w:val="30"/>
        </w:rPr>
        <w:t>Plateforme omnicanale batch &amp; streaming</w:t>
      </w:r>
    </w:p>
    <w:tbl>
      <w:tblPr>
        <w:tblW w:type="dxa" w:w="9360"/>
        <w:jc w:val="left"/>
        <w:tblLayout w:type="fixed"/>
        <w:tblLook w:firstColumn="1" w:firstRow="1" w:lastColumn="0" w:lastRow="0" w:noHBand="0" w:noVBand="1" w:val="04A0"/>
        <w:tblInd w:type="dxa" w:w="80"/>
        <w:tblBorders>
          <w:top w:val="single" w:sz="6" w:color="294766"/>
          <w:left w:val="single" w:sz="6" w:color="294766"/>
          <w:bottom w:val="single" w:sz="6" w:color="294766"/>
          <w:right w:val="single" w:sz="6" w:color="294766"/>
          <w:insideH w:val="single" w:sz="6" w:color="294766"/>
          <w:insideV w:val="single" w:sz="6" w:color="294766"/>
        </w:tblBorders>
      </w:tblPr>
      <w:tblGrid>
        <w:gridCol w:w="2340"/>
        <w:gridCol w:w="2340"/>
        <w:gridCol w:w="2340"/>
        <w:gridCol w:w="2340"/>
      </w:tblGrid>
      <w:tr>
        <w:trPr>
          <w:tblHeader w:val="true"/>
          <w:cantSplit/>
        </w:trPr>
        <w:tc>
          <w:tcPr>
            <w:tcW w:type="dxa" w:w="2340"/>
            <w:shd w:fill="0B2545"/>
            <w:tcMar>
              <w:top w:w="150" w:type="dxa"/>
              <w:bottom w:w="150" w:type="dxa"/>
              <w:start w:w="80" w:type="dxa"/>
              <w:end w:w="80" w:type="dxa"/>
            </w:tcMar>
          </w:tcPr>
          <w:p>
            <w:pPr>
              <w:spacing w:after="0"/>
              <w:jc w:val="center"/>
            </w:pPr>
            <w:r/>
            <w:r>
              <w:rPr>
                <w:rFonts w:ascii="Calibri" w:hAnsi="Calibri"/>
                <w:b/>
                <w:i w:val="0"/>
                <w:color w:val="FFFFFF"/>
                <w:sz w:val="30"/>
              </w:rPr>
              <w:t>960</w:t>
              <w:br/>
            </w:r>
            <w:r>
              <w:rPr>
                <w:rFonts w:ascii="Calibri" w:hAnsi="Calibri"/>
                <w:b/>
                <w:i w:val="0"/>
                <w:color w:val="BECFE1"/>
                <w:sz w:val="15"/>
              </w:rPr>
              <w:t>VENTES</w:t>
            </w:r>
          </w:p>
        </w:tc>
        <w:tc>
          <w:tcPr>
            <w:tcW w:type="dxa" w:w="2340"/>
            <w:shd w:fill="0B2545"/>
            <w:tcMar>
              <w:top w:w="150" w:type="dxa"/>
              <w:bottom w:w="150" w:type="dxa"/>
              <w:start w:w="80" w:type="dxa"/>
              <w:end w:w="80" w:type="dxa"/>
            </w:tcMar>
          </w:tcPr>
          <w:p>
            <w:pPr>
              <w:spacing w:after="0"/>
              <w:jc w:val="center"/>
            </w:pPr>
            <w:r/>
            <w:r>
              <w:rPr>
                <w:rFonts w:ascii="Calibri" w:hAnsi="Calibri"/>
                <w:b/>
                <w:i w:val="0"/>
                <w:color w:val="FFFFFF"/>
                <w:sz w:val="30"/>
              </w:rPr>
              <w:t>3 160</w:t>
              <w:br/>
            </w:r>
            <w:r>
              <w:rPr>
                <w:rFonts w:ascii="Calibri" w:hAnsi="Calibri"/>
                <w:b/>
                <w:i w:val="0"/>
                <w:color w:val="BECFE1"/>
                <w:sz w:val="15"/>
              </w:rPr>
              <w:t>ÉVÉNEMENTS</w:t>
            </w:r>
          </w:p>
        </w:tc>
        <w:tc>
          <w:tcPr>
            <w:tcW w:type="dxa" w:w="2340"/>
            <w:shd w:fill="0B2545"/>
            <w:tcMar>
              <w:top w:w="150" w:type="dxa"/>
              <w:bottom w:w="150" w:type="dxa"/>
              <w:start w:w="80" w:type="dxa"/>
              <w:end w:w="80" w:type="dxa"/>
            </w:tcMar>
          </w:tcPr>
          <w:p>
            <w:pPr>
              <w:spacing w:after="0"/>
              <w:jc w:val="center"/>
            </w:pPr>
            <w:r/>
            <w:r>
              <w:rPr>
                <w:rFonts w:ascii="Calibri" w:hAnsi="Calibri"/>
                <w:b/>
                <w:i w:val="0"/>
                <w:color w:val="FFFFFF"/>
                <w:sz w:val="30"/>
              </w:rPr>
              <w:t>100 %</w:t>
              <w:br/>
            </w:r>
            <w:r>
              <w:rPr>
                <w:rFonts w:ascii="Calibri" w:hAnsi="Calibri"/>
                <w:b/>
                <w:i w:val="0"/>
                <w:color w:val="BECFE1"/>
                <w:sz w:val="15"/>
              </w:rPr>
              <w:t>QUALITÉ</w:t>
            </w:r>
          </w:p>
        </w:tc>
        <w:tc>
          <w:tcPr>
            <w:tcW w:type="dxa" w:w="2340"/>
            <w:shd w:fill="0B2545"/>
            <w:tcMar>
              <w:top w:w="150" w:type="dxa"/>
              <w:bottom w:w="150" w:type="dxa"/>
              <w:start w:w="80" w:type="dxa"/>
              <w:end w:w="80" w:type="dxa"/>
            </w:tcMar>
          </w:tcPr>
          <w:p>
            <w:pPr>
              <w:spacing w:after="0"/>
              <w:jc w:val="center"/>
            </w:pPr>
            <w:r/>
            <w:r>
              <w:rPr>
                <w:rFonts w:ascii="Calibri" w:hAnsi="Calibri"/>
                <w:b/>
                <w:i w:val="0"/>
                <w:color w:val="FFFFFF"/>
                <w:sz w:val="30"/>
              </w:rPr>
              <w:t>0</w:t>
              <w:br/>
            </w:r>
            <w:r>
              <w:rPr>
                <w:rFonts w:ascii="Calibri" w:hAnsi="Calibri"/>
                <w:b/>
                <w:i w:val="0"/>
                <w:color w:val="BECFE1"/>
                <w:sz w:val="15"/>
              </w:rPr>
              <w:t>ÉCART COMPTABLE</w:t>
            </w:r>
          </w:p>
        </w:tc>
      </w:tr>
    </w:tbl>
    <w:p/>
    <w:p>
      <w:pPr>
        <w:jc w:val="center"/>
      </w:pPr>
      <w:r>
        <w:rPr>
          <w:rFonts w:ascii="Calibri" w:hAnsi="Calibri"/>
          <w:b/>
          <w:i w:val="0"/>
          <w:color w:val="0B2545"/>
          <w:sz w:val="24"/>
        </w:rPr>
        <w:t>Ikel Ouedraogo</w:t>
      </w:r>
    </w:p>
    <w:p>
      <w:pPr>
        <w:jc w:val="center"/>
      </w:pPr>
      <w:r>
        <w:rPr>
          <w:rFonts w:ascii="Calibri" w:hAnsi="Calibri"/>
          <w:b w:val="0"/>
          <w:i w:val="0"/>
          <w:color w:val="64707C"/>
          <w:sz w:val="19"/>
        </w:rPr>
        <w:t>Data Engineer · Dossier de présentation Retail</w:t>
      </w:r>
    </w:p>
    <w:p>
      <w:pPr>
        <w:spacing w:before="200"/>
        <w:jc w:val="center"/>
      </w:pPr>
      <w:r>
        <w:rPr>
          <w:rFonts w:ascii="Calibri" w:hAnsi="Calibri"/>
          <w:b w:val="0"/>
          <w:i w:val="0"/>
          <w:color w:val="64707C"/>
          <w:sz w:val="18"/>
        </w:rPr>
        <w:t>Septembre 2026</w:t>
      </w:r>
    </w:p>
    <w:p>
      <w:r>
        <w:br w:type="page"/>
      </w:r>
    </w:p>
    <w:p>
      <w:pPr>
        <w:pStyle w:val="Heading1"/>
      </w:pPr>
      <w:r>
        <w:t>1. Synthèse exécutive</w:t>
      </w:r>
    </w:p>
    <w:tbl>
      <w:tblPr>
        <w:tblW w:type="dxa" w:w="9360"/>
        <w:jc w:val="left"/>
        <w:tblLayout w:type="fixed"/>
        <w:tblLook w:firstColumn="1" w:firstRow="1" w:lastColumn="0" w:lastRow="0" w:noHBand="0" w:noVBand="1" w:val="04A0"/>
        <w:tblInd w:type="dxa" w:w="160"/>
        <w:tblBorders>
          <w:top w:val="single" w:sz="8" w:color="F4C9BD"/>
          <w:left w:val="single" w:sz="8" w:color="F4C9BD"/>
          <w:bottom w:val="single" w:sz="8" w:color="F4C9BD"/>
          <w:right w:val="single" w:sz="8" w:color="F4C9BD"/>
          <w:insideH w:val="single" w:sz="8" w:color="F4C9BD"/>
          <w:insideV w:val="single" w:sz="8" w:color="F4C9BD"/>
        </w:tblBorders>
      </w:tblPr>
      <w:tblGrid>
        <w:gridCol w:w="9360"/>
      </w:tblGrid>
      <w:tr>
        <w:trPr>
          <w:tblHeader w:val="true"/>
          <w:cantSplit/>
        </w:trPr>
        <w:tc>
          <w:tcPr>
            <w:tcW w:type="dxa" w:w="9360"/>
            <w:shd w:fill="FFF1ED"/>
            <w:tcMar>
              <w:top w:w="130" w:type="dxa"/>
              <w:bottom w:w="130" w:type="dxa"/>
              <w:start w:w="160" w:type="dxa"/>
              <w:end w:w="160" w:type="dxa"/>
            </w:tcMar>
          </w:tcPr>
          <w:p>
            <w:pPr>
              <w:spacing w:after="0"/>
            </w:pPr>
            <w:r/>
            <w:r>
              <w:rPr>
                <w:rFonts w:ascii="Calibri" w:hAnsi="Calibri"/>
                <w:b/>
                <w:i w:val="0"/>
                <w:color w:val="E65D3D"/>
                <w:sz w:val="19"/>
              </w:rPr>
              <w:t xml:space="preserve">OBJECTIF  </w:t>
            </w:r>
            <w:r>
              <w:rPr>
                <w:rFonts w:ascii="Calibri" w:hAnsi="Calibri"/>
                <w:b w:val="0"/>
                <w:i w:val="0"/>
                <w:color w:val="0B2545"/>
                <w:sz w:val="19"/>
              </w:rPr>
              <w:t>Construire une Single Source of Truth retail qui réunit ventes, événements, clients, produits et stocks, tout en garantissant la qualité et la précision comptable.</w:t>
            </w:r>
          </w:p>
        </w:tc>
      </w:tr>
    </w:tbl>
    <w:p>
      <w:pPr>
        <w:spacing w:after="40"/>
      </w:pPr>
    </w:p>
    <w:p>
      <w:r>
        <w:rPr>
          <w:rFonts w:ascii="Calibri" w:hAnsi="Calibri"/>
          <w:b w:val="0"/>
          <w:i w:val="0"/>
          <w:color w:val="1D2228"/>
          <w:sz w:val="22"/>
        </w:rPr>
        <w:t>J’ai conçu ce projet pour démontrer ma capacité à construire un Retail Core Model moderne, fiable et orienté produit. La plateforme traite des données batch et des événements quasi temps réel, calcule le stock disponible à la vente, réconcilie le streaming avec le batch et bloque la publication si un contrôle critique échoue.</w:t>
      </w:r>
    </w:p>
    <w:p>
      <w:r>
        <w:rPr>
          <w:rFonts w:ascii="Calibri" w:hAnsi="Calibri"/>
          <w:b w:val="0"/>
          <w:i w:val="0"/>
          <w:color w:val="1D2228"/>
          <w:sz w:val="22"/>
        </w:rPr>
        <w:t>Le démonstrateur contient 960 ventes, 160 clients pseudonymisés, 12 produits, 24 versions de prix SCD Type 2 et 3 160 événements. Toutes les données sont synthétiques : aucune donnée d’entreprise ni donnée personnelle réelle n’est utilisée.</w:t>
      </w:r>
    </w:p>
    <w:p>
      <w:pPr>
        <w:pStyle w:val="Heading1"/>
      </w:pPr>
      <w:r>
        <w:t>2. Problème métier</w:t>
      </w:r>
    </w:p>
    <w:p>
      <w:r>
        <w:rPr>
          <w:rFonts w:ascii="Calibri" w:hAnsi="Calibri"/>
          <w:b w:val="0"/>
          <w:i w:val="0"/>
          <w:color w:val="1D2228"/>
          <w:sz w:val="22"/>
        </w:rPr>
        <w:t>Dans un environnement retail omnicanal, le POS, l’e-commerce, le CRM, le PLM, l’ERP et la supply chain décrivent la même activité depuis des systèmes différents. Sans modèle central, deux équipes peuvent obtenir des chiffres différents pour une même question.</w:t>
      </w:r>
    </w:p>
    <w:p>
      <w:pPr>
        <w:numPr>
          <w:ilvl w:val="0"/>
          <w:numId w:val="10"/>
        </w:numPr>
        <w:spacing w:after="80" w:line="300" w:lineRule="auto"/>
      </w:pPr>
      <w:r>
        <w:rPr>
          <w:rFonts w:ascii="Calibri" w:hAnsi="Calibri"/>
          <w:b w:val="0"/>
          <w:i w:val="0"/>
          <w:color w:val="1D2228"/>
          <w:sz w:val="22"/>
        </w:rPr>
        <w:t>Combien ai-je vendu sur le web, en magasin et sur la marketplace ?</w:t>
      </w:r>
    </w:p>
    <w:p>
      <w:pPr>
        <w:numPr>
          <w:ilvl w:val="0"/>
          <w:numId w:val="10"/>
        </w:numPr>
        <w:spacing w:after="80" w:line="300" w:lineRule="auto"/>
      </w:pPr>
      <w:r>
        <w:rPr>
          <w:rFonts w:ascii="Calibri" w:hAnsi="Calibri"/>
          <w:b w:val="0"/>
          <w:i w:val="0"/>
          <w:color w:val="1D2228"/>
          <w:sz w:val="22"/>
        </w:rPr>
        <w:t>Quel stock puis-je encore promettre sans créer de survente ?</w:t>
      </w:r>
    </w:p>
    <w:p>
      <w:pPr>
        <w:numPr>
          <w:ilvl w:val="0"/>
          <w:numId w:val="10"/>
        </w:numPr>
        <w:spacing w:after="80" w:line="300" w:lineRule="auto"/>
      </w:pPr>
      <w:r>
        <w:rPr>
          <w:rFonts w:ascii="Calibri" w:hAnsi="Calibri"/>
          <w:b w:val="0"/>
          <w:i w:val="0"/>
          <w:color w:val="1D2228"/>
          <w:sz w:val="22"/>
        </w:rPr>
        <w:t>Un client web et magasin correspond-il au même Golden Record ?</w:t>
      </w:r>
    </w:p>
    <w:p>
      <w:pPr>
        <w:numPr>
          <w:ilvl w:val="0"/>
          <w:numId w:val="10"/>
        </w:numPr>
        <w:spacing w:after="80" w:line="300" w:lineRule="auto"/>
      </w:pPr>
      <w:r>
        <w:rPr>
          <w:rFonts w:ascii="Calibri" w:hAnsi="Calibri"/>
          <w:b w:val="0"/>
          <w:i w:val="0"/>
          <w:color w:val="1D2228"/>
          <w:sz w:val="22"/>
        </w:rPr>
        <w:t>Les ventes Kinesis correspondent-elles au total comptable en fin de journée ?</w:t>
      </w:r>
    </w:p>
    <w:p>
      <w:r>
        <w:rPr>
          <w:rFonts w:ascii="Calibri" w:hAnsi="Calibri"/>
          <w:b w:val="0"/>
          <w:i w:val="0"/>
          <w:color w:val="1D2228"/>
          <w:sz w:val="22"/>
        </w:rPr>
        <w:t>Mon projet répond à ces questions à travers un modèle commun et des contrats de qualité explicites.</w:t>
      </w:r>
    </w:p>
    <w:p>
      <w:pPr>
        <w:pStyle w:val="Heading1"/>
      </w:pPr>
      <w:r>
        <w:t>3. Architecture cible</w:t>
      </w:r>
    </w:p>
    <w:p>
      <w:pPr>
        <w:pStyle w:val="CodeBlock"/>
        <w:shd w:fill="F4F6F9"/>
      </w:pPr>
      <w:r>
        <w:rPr>
          <w:rFonts w:ascii="Aptos Mono" w:hAnsi="Aptos Mono"/>
          <w:b w:val="0"/>
          <w:i w:val="0"/>
          <w:color w:val="0B2545"/>
          <w:sz w:val="17"/>
        </w:rPr>
        <w:t>CRM / ERP / PLM ─ Airbyte ───────────────┐</w:t>
        <w:br/>
        <w:t>POS / E-commerce ─ Kinesis ─ Lambda ────┼─ S3 Raw ─ dbt ─ Snowflake ─ Retail Marts</w:t>
        <w:br/>
        <w:t>Fichiers Supply ─ Airbyte ───────────────┘                  │</w:t>
        <w:br/>
        <w:t>Airflow / MWAA : orchestration et reprises ────────────────┤</w:t>
        <w:br/>
        <w:t>CloudWatch : logs, métriques et alertes ───────────────────┤</w:t>
        <w:br/>
        <w:t>Data contracts : qualité et réconciliation ───────────────┘</w:t>
      </w:r>
    </w:p>
    <w:p>
      <w:r>
        <w:rPr>
          <w:rFonts w:ascii="Calibri" w:hAnsi="Calibri"/>
          <w:b w:val="0"/>
          <w:i w:val="0"/>
          <w:color w:val="1D2228"/>
          <w:sz w:val="22"/>
        </w:rPr>
        <w:t>La version locale utilise des fichiers CSV pour la zone Raw et SQLite pour le warehouse. Ce choix rend le projet gratuit et reproductible, tout en conservant des frontières directement transposables vers AWS S3, Amazon Kinesis, AWS Lambda, Snowflake, dbt et Airflow.</w:t>
      </w:r>
    </w:p>
    <w:tbl>
      <w:tblPr>
        <w:tblStyle w:val="TableGrid"/>
        <w:tblW w:type="dxa" w:w="9360"/>
        <w:tblLayout w:type="fixed"/>
        <w:tblLook w:firstColumn="1" w:firstRow="1" w:lastColumn="0" w:lastRow="0" w:noHBand="0" w:noVBand="1" w:val="04A0"/>
        <w:jc w:val="left"/>
        <w:tblBorders>
          <w:top w:val="single" w:sz="6" w:color="D9DEE5"/>
          <w:left w:val="single" w:sz="6" w:color="D9DEE5"/>
          <w:bottom w:val="single" w:sz="6" w:color="D9DEE5"/>
          <w:right w:val="single" w:sz="6" w:color="D9DEE5"/>
          <w:insideH w:val="single" w:sz="6" w:color="D9DEE5"/>
          <w:insideV w:val="single" w:sz="6" w:color="D9DEE5"/>
        </w:tblBorders>
        <w:tblInd w:type="dxa" w:w="120"/>
      </w:tblPr>
      <w:tblGrid>
        <w:gridCol w:w="1656"/>
        <w:gridCol w:w="2088"/>
        <w:gridCol w:w="2232"/>
        <w:gridCol w:w="3384"/>
      </w:tblGrid>
      <w:tr>
        <w:trPr>
          <w:tblHeader w:val="true"/>
          <w:cantSplit/>
        </w:trPr>
        <w:tc>
          <w:tcPr>
            <w:tcW w:type="dxa" w:w="1656"/>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Couche</w:t>
            </w:r>
          </w:p>
        </w:tc>
        <w:tc>
          <w:tcPr>
            <w:tcW w:type="dxa" w:w="2088"/>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Composant local</w:t>
            </w:r>
          </w:p>
        </w:tc>
        <w:tc>
          <w:tcPr>
            <w:tcW w:type="dxa" w:w="2232"/>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Cible cloud</w:t>
            </w:r>
          </w:p>
        </w:tc>
        <w:tc>
          <w:tcPr>
            <w:tcW w:type="dxa" w:w="3384"/>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Responsabilité</w:t>
            </w:r>
          </w:p>
        </w:tc>
      </w:tr>
      <w:tr>
        <w:trPr>
          <w:cantSplit/>
        </w:trPr>
        <w:tc>
          <w:tcPr>
            <w:tcW w:type="dxa" w:w="1656"/>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Ingestion</w:t>
            </w:r>
          </w:p>
        </w:tc>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Générateur CSV</w:t>
            </w:r>
          </w:p>
        </w:tc>
        <w:tc>
          <w:tcPr>
            <w:tcW w:type="dxa" w:w="2232"/>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Airbyte / Kinesis</w:t>
            </w:r>
          </w:p>
        </w:tc>
        <w:tc>
          <w:tcPr>
            <w:tcW w:type="dxa" w:w="338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Collecter batch et événements</w:t>
            </w:r>
          </w:p>
        </w:tc>
      </w:tr>
      <w:tr>
        <w:trPr>
          <w:cantSplit/>
        </w:trPr>
        <w:tc>
          <w:tcPr>
            <w:tcW w:type="dxa" w:w="1656"/>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Prétraitement</w:t>
            </w:r>
          </w:p>
        </w:tc>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Python</w:t>
            </w:r>
          </w:p>
        </w:tc>
        <w:tc>
          <w:tcPr>
            <w:tcW w:type="dxa" w:w="2232"/>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AWS Lambda</w:t>
            </w:r>
          </w:p>
        </w:tc>
        <w:tc>
          <w:tcPr>
            <w:tcW w:type="dxa" w:w="338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Valider, normaliser, enrichir</w:t>
            </w:r>
          </w:p>
        </w:tc>
      </w:tr>
      <w:tr>
        <w:trPr>
          <w:cantSplit/>
        </w:trPr>
        <w:tc>
          <w:tcPr>
            <w:tcW w:type="dxa" w:w="1656"/>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Stockage</w:t>
            </w:r>
          </w:p>
        </w:tc>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Raw / Curated</w:t>
            </w:r>
          </w:p>
        </w:tc>
        <w:tc>
          <w:tcPr>
            <w:tcW w:type="dxa" w:w="2232"/>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Amazon S3</w:t>
            </w:r>
          </w:p>
        </w:tc>
        <w:tc>
          <w:tcPr>
            <w:tcW w:type="dxa" w:w="338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Conserver et partitionner</w:t>
            </w:r>
          </w:p>
        </w:tc>
      </w:tr>
      <w:tr>
        <w:trPr>
          <w:cantSplit/>
        </w:trPr>
        <w:tc>
          <w:tcPr>
            <w:tcW w:type="dxa" w:w="1656"/>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Transformation</w:t>
            </w:r>
          </w:p>
        </w:tc>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SQL / Python</w:t>
            </w:r>
          </w:p>
        </w:tc>
        <w:tc>
          <w:tcPr>
            <w:tcW w:type="dxa" w:w="2232"/>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dbt + Snowflake</w:t>
            </w:r>
          </w:p>
        </w:tc>
        <w:tc>
          <w:tcPr>
            <w:tcW w:type="dxa" w:w="338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Construire le Core Model</w:t>
            </w:r>
          </w:p>
        </w:tc>
      </w:tr>
      <w:tr>
        <w:trPr>
          <w:cantSplit/>
        </w:trPr>
        <w:tc>
          <w:tcPr>
            <w:tcW w:type="dxa" w:w="1656"/>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Orchestration</w:t>
            </w:r>
          </w:p>
        </w:tc>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Pipeline Python</w:t>
            </w:r>
          </w:p>
        </w:tc>
        <w:tc>
          <w:tcPr>
            <w:tcW w:type="dxa" w:w="2232"/>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Airflow / MWAA</w:t>
            </w:r>
          </w:p>
        </w:tc>
        <w:tc>
          <w:tcPr>
            <w:tcW w:type="dxa" w:w="338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Ordonner, reprendre, publier</w:t>
            </w:r>
          </w:p>
        </w:tc>
      </w:tr>
      <w:tr>
        <w:trPr>
          <w:cantSplit/>
        </w:trPr>
        <w:tc>
          <w:tcPr>
            <w:tcW w:type="dxa" w:w="1656"/>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Observabilité</w:t>
            </w:r>
          </w:p>
        </w:tc>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Rapport JSON</w:t>
            </w:r>
          </w:p>
        </w:tc>
        <w:tc>
          <w:tcPr>
            <w:tcW w:type="dxa" w:w="2232"/>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CloudWatch</w:t>
            </w:r>
          </w:p>
        </w:tc>
        <w:tc>
          <w:tcPr>
            <w:tcW w:type="dxa" w:w="338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Alerter et suivre le SLA</w:t>
            </w:r>
          </w:p>
        </w:tc>
      </w:tr>
    </w:tbl>
    <w:p>
      <w:pPr>
        <w:spacing w:after="40"/>
      </w:pPr>
    </w:p>
    <w:p>
      <w:pPr>
        <w:pStyle w:val="Heading1"/>
      </w:pPr>
      <w:r>
        <w:t>4. Données utilisées</w:t>
      </w:r>
    </w:p>
    <w:tbl>
      <w:tblPr>
        <w:tblStyle w:val="TableGrid"/>
        <w:tblW w:type="dxa" w:w="9360"/>
        <w:tblLayout w:type="fixed"/>
        <w:tblLook w:firstColumn="1" w:firstRow="1" w:lastColumn="0" w:lastRow="0" w:noHBand="0" w:noVBand="1" w:val="04A0"/>
        <w:jc w:val="left"/>
        <w:tblBorders>
          <w:top w:val="single" w:sz="6" w:color="D9DEE5"/>
          <w:left w:val="single" w:sz="6" w:color="D9DEE5"/>
          <w:bottom w:val="single" w:sz="6" w:color="D9DEE5"/>
          <w:right w:val="single" w:sz="6" w:color="D9DEE5"/>
          <w:insideH w:val="single" w:sz="6" w:color="D9DEE5"/>
          <w:insideV w:val="single" w:sz="6" w:color="D9DEE5"/>
        </w:tblBorders>
        <w:tblInd w:type="dxa" w:w="120"/>
      </w:tblPr>
      <w:tblGrid>
        <w:gridCol w:w="1944"/>
        <w:gridCol w:w="1728"/>
        <w:gridCol w:w="3024"/>
        <w:gridCol w:w="2664"/>
      </w:tblGrid>
      <w:tr>
        <w:trPr>
          <w:tblHeader w:val="true"/>
          <w:cantSplit/>
        </w:trPr>
        <w:tc>
          <w:tcPr>
            <w:tcW w:type="dxa" w:w="1944"/>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Jeu</w:t>
            </w:r>
          </w:p>
        </w:tc>
        <w:tc>
          <w:tcPr>
            <w:tcW w:type="dxa" w:w="1728"/>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Grain</w:t>
            </w:r>
          </w:p>
        </w:tc>
        <w:tc>
          <w:tcPr>
            <w:tcW w:type="dxa" w:w="3024"/>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Champs clés</w:t>
            </w:r>
          </w:p>
        </w:tc>
        <w:tc>
          <w:tcPr>
            <w:tcW w:type="dxa" w:w="2664"/>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Usage</w:t>
            </w:r>
          </w:p>
        </w:tc>
      </w:tr>
      <w:tr>
        <w:trPr>
          <w:cantSplit/>
        </w:trPr>
        <w:tc>
          <w:tcPr>
            <w:tcW w:type="dxa" w:w="194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products.csv</w:t>
            </w:r>
          </w:p>
        </w:tc>
        <w:tc>
          <w:tcPr>
            <w:tcW w:type="dxa" w:w="172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Un produit</w:t>
            </w:r>
          </w:p>
        </w:tc>
        <w:tc>
          <w:tcPr>
            <w:tcW w:type="dxa" w:w="302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catégorie, collection, prix</w:t>
            </w:r>
          </w:p>
        </w:tc>
        <w:tc>
          <w:tcPr>
            <w:tcW w:type="dxa" w:w="266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Référentiel produit</w:t>
            </w:r>
          </w:p>
        </w:tc>
      </w:tr>
      <w:tr>
        <w:trPr>
          <w:cantSplit/>
        </w:trPr>
        <w:tc>
          <w:tcPr>
            <w:tcW w:type="dxa" w:w="194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customers.csv</w:t>
            </w:r>
          </w:p>
        </w:tc>
        <w:tc>
          <w:tcPr>
            <w:tcW w:type="dxa" w:w="172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Un client</w:t>
            </w:r>
          </w:p>
        </w:tc>
        <w:tc>
          <w:tcPr>
            <w:tcW w:type="dxa" w:w="302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hash, loyalty ID, consentement</w:t>
            </w:r>
          </w:p>
        </w:tc>
        <w:tc>
          <w:tcPr>
            <w:tcW w:type="dxa" w:w="266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Customer 360</w:t>
            </w:r>
          </w:p>
        </w:tc>
      </w:tr>
      <w:tr>
        <w:trPr>
          <w:cantSplit/>
        </w:trPr>
        <w:tc>
          <w:tcPr>
            <w:tcW w:type="dxa" w:w="194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orders.csv</w:t>
            </w:r>
          </w:p>
        </w:tc>
        <w:tc>
          <w:tcPr>
            <w:tcW w:type="dxa" w:w="172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Une commande</w:t>
            </w:r>
          </w:p>
        </w:tc>
        <w:tc>
          <w:tcPr>
            <w:tcW w:type="dxa" w:w="302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canal, quantité, remise</w:t>
            </w:r>
          </w:p>
        </w:tc>
        <w:tc>
          <w:tcPr>
            <w:tcW w:type="dxa" w:w="266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Ventes et panier</w:t>
            </w:r>
          </w:p>
        </w:tc>
      </w:tr>
      <w:tr>
        <w:trPr>
          <w:cantSplit/>
        </w:trPr>
        <w:tc>
          <w:tcPr>
            <w:tcW w:type="dxa" w:w="194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stream_events.csv</w:t>
            </w:r>
          </w:p>
        </w:tc>
        <w:tc>
          <w:tcPr>
            <w:tcW w:type="dxa" w:w="172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Un événement</w:t>
            </w:r>
          </w:p>
        </w:tc>
        <w:tc>
          <w:tcPr>
            <w:tcW w:type="dxa" w:w="302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type, partition, latence</w:t>
            </w:r>
          </w:p>
        </w:tc>
        <w:tc>
          <w:tcPr>
            <w:tcW w:type="dxa" w:w="266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Streaming Kinesis</w:t>
            </w:r>
          </w:p>
        </w:tc>
      </w:tr>
      <w:tr>
        <w:trPr>
          <w:cantSplit/>
        </w:trPr>
        <w:tc>
          <w:tcPr>
            <w:tcW w:type="dxa" w:w="194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stock.csv</w:t>
            </w:r>
          </w:p>
        </w:tc>
        <w:tc>
          <w:tcPr>
            <w:tcW w:type="dxa" w:w="172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Un produit</w:t>
            </w:r>
          </w:p>
        </w:tc>
        <w:tc>
          <w:tcPr>
            <w:tcW w:type="dxa" w:w="302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magasin, entrepôt, réservé</w:t>
            </w:r>
          </w:p>
        </w:tc>
        <w:tc>
          <w:tcPr>
            <w:tcW w:type="dxa" w:w="266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ATP et ruptures</w:t>
            </w:r>
          </w:p>
        </w:tc>
      </w:tr>
      <w:tr>
        <w:trPr>
          <w:cantSplit/>
        </w:trPr>
        <w:tc>
          <w:tcPr>
            <w:tcW w:type="dxa" w:w="194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price_history.csv</w:t>
            </w:r>
          </w:p>
        </w:tc>
        <w:tc>
          <w:tcPr>
            <w:tcW w:type="dxa" w:w="172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Une version</w:t>
            </w:r>
          </w:p>
        </w:tc>
        <w:tc>
          <w:tcPr>
            <w:tcW w:type="dxa" w:w="302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validité, prix, current</w:t>
            </w:r>
          </w:p>
        </w:tc>
        <w:tc>
          <w:tcPr>
            <w:tcW w:type="dxa" w:w="266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SCD Type 2</w:t>
            </w:r>
          </w:p>
        </w:tc>
      </w:tr>
    </w:tbl>
    <w:p>
      <w:pPr>
        <w:spacing w:after="40"/>
      </w:pPr>
    </w:p>
    <w:p>
      <w:r>
        <w:rPr>
          <w:rFonts w:ascii="Calibri" w:hAnsi="Calibri"/>
          <w:b w:val="0"/>
          <w:i w:val="0"/>
          <w:color w:val="1D2228"/>
          <w:sz w:val="22"/>
        </w:rPr>
        <w:t>Les événements comprennent des achats, des consultations de fiche produit et des ajouts au panier. J’utilise customer_id comme clé de partition pour conserver l’ordre des événements d’un client, et event_id comme clé d’idempotence pour sécuriser les reprises.</w:t>
      </w:r>
    </w:p>
    <w:p>
      <w:pPr>
        <w:pStyle w:val="Heading1"/>
      </w:pPr>
      <w:r>
        <w:t>5. Fonctionnement du pipeline</w:t>
      </w:r>
    </w:p>
    <w:p>
      <w:pPr>
        <w:pStyle w:val="Heading2"/>
      </w:pPr>
      <w:r>
        <w:t>5.1 Ingestion et validation</w:t>
      </w:r>
    </w:p>
    <w:p>
      <w:r>
        <w:rPr>
          <w:rFonts w:ascii="Calibri" w:hAnsi="Calibri"/>
          <w:b w:val="0"/>
          <w:i w:val="0"/>
          <w:color w:val="1D2228"/>
          <w:sz w:val="22"/>
        </w:rPr>
        <w:t>Je génère un jeu déterministe avec une graine fixe pour rejouer la démonstration. Dans la cible cloud, Airbyte collecte les sources SaaS et Kinesis ingère les événements à haute fréquence. Une Lambda vérifie les champs obligatoires, le timestamp, la version de schéma et la clé d’idempotence.</w:t>
      </w:r>
    </w:p>
    <w:p>
      <w:r>
        <w:br w:type="page"/>
      </w:r>
    </w:p>
    <w:p>
      <w:pPr>
        <w:pStyle w:val="Heading2"/>
      </w:pPr>
      <w:r>
        <w:t>5.2 Modélisation</w:t>
      </w:r>
    </w:p>
    <w:tbl>
      <w:tblPr>
        <w:tblStyle w:val="TableGrid"/>
        <w:tblW w:type="dxa" w:w="9360"/>
        <w:tblLayout w:type="fixed"/>
        <w:tblLook w:firstColumn="1" w:firstRow="1" w:lastColumn="0" w:lastRow="0" w:noHBand="0" w:noVBand="1" w:val="04A0"/>
        <w:jc w:val="left"/>
        <w:tblBorders>
          <w:top w:val="single" w:sz="6" w:color="D9DEE5"/>
          <w:left w:val="single" w:sz="6" w:color="D9DEE5"/>
          <w:bottom w:val="single" w:sz="6" w:color="D9DEE5"/>
          <w:right w:val="single" w:sz="6" w:color="D9DEE5"/>
          <w:insideH w:val="single" w:sz="6" w:color="D9DEE5"/>
          <w:insideV w:val="single" w:sz="6" w:color="D9DEE5"/>
        </w:tblBorders>
        <w:tblInd w:type="dxa" w:w="120"/>
      </w:tblPr>
      <w:tblGrid>
        <w:gridCol w:w="2880"/>
        <w:gridCol w:w="2160"/>
        <w:gridCol w:w="4320"/>
      </w:tblGrid>
      <w:tr>
        <w:trPr>
          <w:tblHeader w:val="true"/>
          <w:cantSplit/>
        </w:trPr>
        <w:tc>
          <w:tcPr>
            <w:tcW w:type="dxa" w:w="2880"/>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Modèle</w:t>
            </w:r>
          </w:p>
        </w:tc>
        <w:tc>
          <w:tcPr>
            <w:tcW w:type="dxa" w:w="2160"/>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Grain</w:t>
            </w:r>
          </w:p>
        </w:tc>
        <w:tc>
          <w:tcPr>
            <w:tcW w:type="dxa" w:w="4320"/>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Rôle</w:t>
            </w:r>
          </w:p>
        </w:tc>
      </w:tr>
      <w:tr>
        <w:trPr>
          <w:cantSplit/>
        </w:trPr>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dim_product</w:t>
            </w:r>
          </w:p>
        </w:tc>
        <w:tc>
          <w:tcPr>
            <w:tcW w:type="dxa" w:w="216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Produit</w:t>
            </w:r>
          </w:p>
        </w:tc>
        <w:tc>
          <w:tcPr>
            <w:tcW w:type="dxa" w:w="432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Hiérarchies, collection et prix courant</w:t>
            </w:r>
          </w:p>
        </w:tc>
      </w:tr>
      <w:tr>
        <w:trPr>
          <w:cantSplit/>
        </w:trPr>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dim_customer</w:t>
            </w:r>
          </w:p>
        </w:tc>
        <w:tc>
          <w:tcPr>
            <w:tcW w:type="dxa" w:w="216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Golden Record</w:t>
            </w:r>
          </w:p>
        </w:tc>
        <w:tc>
          <w:tcPr>
            <w:tcW w:type="dxa" w:w="432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Identité pseudonymisée et consentement</w:t>
            </w:r>
          </w:p>
        </w:tc>
      </w:tr>
      <w:tr>
        <w:trPr>
          <w:cantSplit/>
        </w:trPr>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dim_product_price_scd2</w:t>
            </w:r>
          </w:p>
        </w:tc>
        <w:tc>
          <w:tcPr>
            <w:tcW w:type="dxa" w:w="216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Version de prix</w:t>
            </w:r>
          </w:p>
        </w:tc>
        <w:tc>
          <w:tcPr>
            <w:tcW w:type="dxa" w:w="432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Historique complet valid_from / valid_to</w:t>
            </w:r>
          </w:p>
        </w:tc>
      </w:tr>
      <w:tr>
        <w:trPr>
          <w:cantSplit/>
        </w:trPr>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fact_sales</w:t>
            </w:r>
          </w:p>
        </w:tc>
        <w:tc>
          <w:tcPr>
            <w:tcW w:type="dxa" w:w="216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Commande</w:t>
            </w:r>
          </w:p>
        </w:tc>
        <w:tc>
          <w:tcPr>
            <w:tcW w:type="dxa" w:w="432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Fait de vente omnicanal</w:t>
            </w:r>
          </w:p>
        </w:tc>
      </w:tr>
      <w:tr>
        <w:trPr>
          <w:cantSplit/>
        </w:trPr>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fact_inventory</w:t>
            </w:r>
          </w:p>
        </w:tc>
        <w:tc>
          <w:tcPr>
            <w:tcW w:type="dxa" w:w="216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Produit</w:t>
            </w:r>
          </w:p>
        </w:tc>
        <w:tc>
          <w:tcPr>
            <w:tcW w:type="dxa" w:w="432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Stock, ATP et risque de rupture</w:t>
            </w:r>
          </w:p>
        </w:tc>
      </w:tr>
      <w:tr>
        <w:trPr>
          <w:cantSplit/>
        </w:trPr>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fact_retail_event</w:t>
            </w:r>
          </w:p>
        </w:tc>
        <w:tc>
          <w:tcPr>
            <w:tcW w:type="dxa" w:w="216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Événement</w:t>
            </w:r>
          </w:p>
        </w:tc>
        <w:tc>
          <w:tcPr>
            <w:tcW w:type="dxa" w:w="432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Comportement streaming et latence</w:t>
            </w:r>
          </w:p>
        </w:tc>
      </w:tr>
    </w:tbl>
    <w:p>
      <w:pPr>
        <w:spacing w:after="40"/>
      </w:pPr>
    </w:p>
    <w:p>
      <w:r>
        <w:rPr>
          <w:rFonts w:ascii="Calibri" w:hAnsi="Calibri"/>
          <w:b w:val="0"/>
          <w:i w:val="0"/>
          <w:color w:val="1D2228"/>
          <w:sz w:val="22"/>
        </w:rPr>
        <w:t>Les modèles dbt séparent staging et marts. La stratégie incrémentale merge et la clé order_id rendent les traitements rejouables sans duplication.</w:t>
      </w:r>
    </w:p>
    <w:p>
      <w:pPr>
        <w:pStyle w:val="Heading2"/>
      </w:pPr>
      <w:r>
        <w:t>5.3 Orchestration</w:t>
      </w:r>
    </w:p>
    <w:p>
      <w:pPr>
        <w:pStyle w:val="CodeBlock"/>
        <w:shd w:fill="F4F6F9"/>
      </w:pPr>
      <w:r>
        <w:rPr>
          <w:rFonts w:ascii="Aptos Mono" w:hAnsi="Aptos Mono"/>
          <w:b w:val="0"/>
          <w:i w:val="0"/>
          <w:color w:val="0B2545"/>
          <w:sz w:val="17"/>
        </w:rPr>
        <w:t>extract_sources → validate_contracts → transform_core_model</w:t>
        <w:br/>
        <w:t xml:space="preserve">                → reconcile_stream → publish_kpis</w:t>
      </w:r>
    </w:p>
    <w:p>
      <w:r>
        <w:rPr>
          <w:rFonts w:ascii="Calibri" w:hAnsi="Calibri"/>
          <w:b w:val="0"/>
          <w:i w:val="0"/>
          <w:color w:val="1D2228"/>
          <w:sz w:val="22"/>
        </w:rPr>
        <w:t>Le DAG Airflow applique deux retries espacés de cinq minutes. Le publishing gate n’autorise la publication que si les contrats sont conformes et si l’écart batch/streaming est nul.</w:t>
      </w:r>
    </w:p>
    <w:p>
      <w:pPr>
        <w:pStyle w:val="Heading1"/>
      </w:pPr>
      <w:r>
        <w:t>6. KPI et valeur métier</w:t>
      </w:r>
    </w:p>
    <w:tbl>
      <w:tblPr>
        <w:tblStyle w:val="TableGrid"/>
        <w:tblW w:type="dxa" w:w="9360"/>
        <w:tblLayout w:type="fixed"/>
        <w:tblLook w:firstColumn="1" w:firstRow="1" w:lastColumn="0" w:lastRow="0" w:noHBand="0" w:noVBand="1" w:val="04A0"/>
        <w:jc w:val="left"/>
        <w:tblBorders>
          <w:top w:val="single" w:sz="6" w:color="D9DEE5"/>
          <w:left w:val="single" w:sz="6" w:color="D9DEE5"/>
          <w:bottom w:val="single" w:sz="6" w:color="D9DEE5"/>
          <w:right w:val="single" w:sz="6" w:color="D9DEE5"/>
          <w:insideH w:val="single" w:sz="6" w:color="D9DEE5"/>
          <w:insideV w:val="single" w:sz="6" w:color="D9DEE5"/>
        </w:tblBorders>
        <w:tblInd w:type="dxa" w:w="120"/>
      </w:tblPr>
      <w:tblGrid>
        <w:gridCol w:w="2088"/>
        <w:gridCol w:w="2880"/>
        <w:gridCol w:w="4392"/>
      </w:tblGrid>
      <w:tr>
        <w:trPr>
          <w:tblHeader w:val="true"/>
          <w:cantSplit/>
        </w:trPr>
        <w:tc>
          <w:tcPr>
            <w:tcW w:type="dxa" w:w="2088"/>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KPI</w:t>
            </w:r>
          </w:p>
        </w:tc>
        <w:tc>
          <w:tcPr>
            <w:tcW w:type="dxa" w:w="2880"/>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Calcul</w:t>
            </w:r>
          </w:p>
        </w:tc>
        <w:tc>
          <w:tcPr>
            <w:tcW w:type="dxa" w:w="4392"/>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À quoi il sert</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Chiffre d’affaires</w:t>
            </w:r>
          </w:p>
        </w:tc>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Σ quantité × prix</w:t>
            </w:r>
          </w:p>
        </w:tc>
        <w:tc>
          <w:tcPr>
            <w:tcW w:type="dxa" w:w="4392"/>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Piloter la performance commerciale</w:t>
            </w:r>
          </w:p>
        </w:tc>
      </w:tr>
      <w:tr>
        <w:trPr>
          <w:cantSplit/>
        </w:trPr>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Commandes</w:t>
            </w:r>
          </w:p>
        </w:tc>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Nombre d’ordres uniques</w:t>
            </w:r>
          </w:p>
        </w:tc>
        <w:tc>
          <w:tcPr>
            <w:tcW w:type="dxa" w:w="4392"/>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Mesurer le volume d’activité</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Panier moyen</w:t>
            </w:r>
          </w:p>
        </w:tc>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CA / commandes</w:t>
            </w:r>
          </w:p>
        </w:tc>
        <w:tc>
          <w:tcPr>
            <w:tcW w:type="dxa" w:w="4392"/>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Suivre la valeur moyenne d’achat</w:t>
            </w:r>
          </w:p>
        </w:tc>
      </w:tr>
      <w:tr>
        <w:trPr>
          <w:cantSplit/>
        </w:trPr>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Clients actifs</w:t>
            </w:r>
          </w:p>
        </w:tc>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Clients distincts</w:t>
            </w:r>
          </w:p>
        </w:tc>
        <w:tc>
          <w:tcPr>
            <w:tcW w:type="dxa" w:w="4392"/>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Mesurer la base engagée</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ATP</w:t>
            </w:r>
          </w:p>
        </w:tc>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Stock + entrant - réservé - vendu</w:t>
            </w:r>
          </w:p>
        </w:tc>
        <w:tc>
          <w:tcPr>
            <w:tcW w:type="dxa" w:w="4392"/>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Promettre un stock réellement disponible</w:t>
            </w:r>
          </w:p>
        </w:tc>
      </w:tr>
      <w:tr>
        <w:trPr>
          <w:cantSplit/>
        </w:trPr>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Latence p95</w:t>
            </w:r>
          </w:p>
        </w:tc>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95e percentile</w:t>
            </w:r>
          </w:p>
        </w:tc>
        <w:tc>
          <w:tcPr>
            <w:tcW w:type="dxa" w:w="4392"/>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Contrôler le SLA quasi temps réel</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Score qualité</w:t>
            </w:r>
          </w:p>
        </w:tc>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Tests réussis / total</w:t>
            </w:r>
          </w:p>
        </w:tc>
        <w:tc>
          <w:tcPr>
            <w:tcW w:type="dxa" w:w="4392"/>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Autoriser ou bloquer la publication</w:t>
            </w:r>
          </w:p>
        </w:tc>
      </w:tr>
      <w:tr>
        <w:trPr>
          <w:cantSplit/>
        </w:trPr>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Écart batch/stream</w:t>
            </w:r>
          </w:p>
        </w:tc>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Unités batch - Kinesis</w:t>
            </w:r>
          </w:p>
        </w:tc>
        <w:tc>
          <w:tcPr>
            <w:tcW w:type="dxa" w:w="4392"/>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Garantir la précision comptable</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Coût mensuel</w:t>
            </w:r>
          </w:p>
        </w:tc>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Compute + flux + stockage</w:t>
            </w:r>
          </w:p>
        </w:tc>
        <w:tc>
          <w:tcPr>
            <w:tcW w:type="dxa" w:w="4392"/>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Prévenir la dérive cloud</w:t>
            </w:r>
          </w:p>
        </w:tc>
      </w:tr>
    </w:tbl>
    <w:p>
      <w:pPr>
        <w:spacing w:after="40"/>
      </w:pPr>
    </w:p>
    <w:p>
      <w:pPr>
        <w:pStyle w:val="Heading2"/>
      </w:pPr>
      <w:r>
        <w:t>6.1 Available to Promise</w:t>
      </w:r>
    </w:p>
    <w:p>
      <w:pPr>
        <w:pStyle w:val="CodeBlock"/>
        <w:shd w:fill="F4F6F9"/>
      </w:pPr>
      <w:r>
        <w:rPr>
          <w:rFonts w:ascii="Aptos Mono" w:hAnsi="Aptos Mono"/>
          <w:b w:val="0"/>
          <w:i w:val="0"/>
          <w:color w:val="0B2545"/>
          <w:sz w:val="17"/>
        </w:rPr>
        <w:t>ATP = stock magasin + stock entrepôt + entrant - réservations - unités vendues</w:t>
      </w:r>
    </w:p>
    <w:p>
      <w:r>
        <w:rPr>
          <w:rFonts w:ascii="Calibri" w:hAnsi="Calibri"/>
          <w:b w:val="0"/>
          <w:i w:val="0"/>
          <w:color w:val="1D2228"/>
          <w:sz w:val="22"/>
        </w:rPr>
        <w:t>Je compare ensuite l’ATP au stock de sécurité. Le statut devient critical sous le seuil, watch sous deux fois le seuil et healthy dans les autres cas. Ce KPI évite la survente et priorise les actions supply chain.</w:t>
      </w:r>
    </w:p>
    <w:p>
      <w:pPr>
        <w:pStyle w:val="Heading1"/>
      </w:pPr>
      <w:r>
        <w:t>7. Customer 360 et protection des données</w:t>
      </w:r>
    </w:p>
    <w:p>
      <w:r>
        <w:rPr>
          <w:rFonts w:ascii="Calibri" w:hAnsi="Calibri"/>
          <w:b w:val="0"/>
          <w:i w:val="0"/>
          <w:color w:val="1D2228"/>
          <w:sz w:val="22"/>
        </w:rPr>
        <w:t>Le Customer 360 rapproche les comportements web, magasin et marketplace. Je ne stocke jamais l’email en clair : le démonstrateur conserve un hash SHA-256 tronqué, un loyalty ID, le pays, le canal d’acquisition et le consentement marketing.</w:t>
      </w:r>
    </w:p>
    <w:p>
      <w:r>
        <w:rPr>
          <w:rFonts w:ascii="Calibri" w:hAnsi="Calibri"/>
          <w:b w:val="0"/>
          <w:i w:val="0"/>
          <w:color w:val="1D2228"/>
          <w:sz w:val="22"/>
        </w:rPr>
        <w:t>Une segmentation RFM simplifiée classe les clients en Champions, Fidèles, Prometteurs et Nouveaux selon leur montant et leur fréquence. Cette vue peut alimenter le CRM sans exposer les données personnelles dans les marts analytiques.</w:t>
      </w:r>
    </w:p>
    <w:p>
      <w:pPr>
        <w:pStyle w:val="Heading1"/>
      </w:pPr>
      <w:r>
        <w:t>8. Qualité, streaming et résilience</w:t>
      </w:r>
    </w:p>
    <w:p>
      <w:r>
        <w:rPr>
          <w:rFonts w:ascii="Calibri" w:hAnsi="Calibri"/>
          <w:b w:val="0"/>
          <w:i w:val="0"/>
          <w:color w:val="1D2228"/>
          <w:sz w:val="22"/>
        </w:rPr>
        <w:t>Le publishing gate exécute seize contrôles avant toute exposition aux utilisateurs :</w:t>
      </w:r>
    </w:p>
    <w:p>
      <w:pPr>
        <w:numPr>
          <w:ilvl w:val="0"/>
          <w:numId w:val="10"/>
        </w:numPr>
        <w:spacing w:after="80" w:line="300" w:lineRule="auto"/>
      </w:pPr>
      <w:r>
        <w:rPr>
          <w:rFonts w:ascii="Calibri" w:hAnsi="Calibri"/>
          <w:b w:val="0"/>
          <w:i w:val="0"/>
          <w:color w:val="1D2228"/>
          <w:sz w:val="22"/>
        </w:rPr>
        <w:t>Unicité des commandes et événements.</w:t>
      </w:r>
    </w:p>
    <w:p>
      <w:pPr>
        <w:numPr>
          <w:ilvl w:val="0"/>
          <w:numId w:val="10"/>
        </w:numPr>
        <w:spacing w:after="80" w:line="300" w:lineRule="auto"/>
      </w:pPr>
      <w:r>
        <w:rPr>
          <w:rFonts w:ascii="Calibri" w:hAnsi="Calibri"/>
          <w:b w:val="0"/>
          <w:i w:val="0"/>
          <w:color w:val="1D2228"/>
          <w:sz w:val="22"/>
        </w:rPr>
        <w:t>Intégrité des références produit et client.</w:t>
      </w:r>
    </w:p>
    <w:p>
      <w:pPr>
        <w:numPr>
          <w:ilvl w:val="0"/>
          <w:numId w:val="10"/>
        </w:numPr>
        <w:spacing w:after="80" w:line="300" w:lineRule="auto"/>
      </w:pPr>
      <w:r>
        <w:rPr>
          <w:rFonts w:ascii="Calibri" w:hAnsi="Calibri"/>
          <w:b w:val="0"/>
          <w:i w:val="0"/>
          <w:color w:val="1D2228"/>
          <w:sz w:val="22"/>
        </w:rPr>
        <w:t>Domaines des quantités, montants et remises.</w:t>
      </w:r>
    </w:p>
    <w:p>
      <w:pPr>
        <w:numPr>
          <w:ilvl w:val="0"/>
          <w:numId w:val="10"/>
        </w:numPr>
        <w:spacing w:after="80" w:line="300" w:lineRule="auto"/>
      </w:pPr>
      <w:r>
        <w:rPr>
          <w:rFonts w:ascii="Calibri" w:hAnsi="Calibri"/>
          <w:b w:val="0"/>
          <w:i w:val="0"/>
          <w:color w:val="1D2228"/>
          <w:sz w:val="22"/>
        </w:rPr>
        <w:t>Égalité des achats batch et streaming.</w:t>
      </w:r>
    </w:p>
    <w:p>
      <w:pPr>
        <w:numPr>
          <w:ilvl w:val="0"/>
          <w:numId w:val="10"/>
        </w:numPr>
        <w:spacing w:after="80" w:line="300" w:lineRule="auto"/>
      </w:pPr>
      <w:r>
        <w:rPr>
          <w:rFonts w:ascii="Calibri" w:hAnsi="Calibri"/>
          <w:b w:val="0"/>
          <w:i w:val="0"/>
          <w:color w:val="1D2228"/>
          <w:sz w:val="22"/>
        </w:rPr>
        <w:t>Partitionnement, privacy et forme des hashes.</w:t>
      </w:r>
    </w:p>
    <w:p>
      <w:pPr>
        <w:numPr>
          <w:ilvl w:val="0"/>
          <w:numId w:val="10"/>
        </w:numPr>
        <w:spacing w:after="80" w:line="300" w:lineRule="auto"/>
      </w:pPr>
      <w:r>
        <w:rPr>
          <w:rFonts w:ascii="Calibri" w:hAnsi="Calibri"/>
          <w:b w:val="0"/>
          <w:i w:val="0"/>
          <w:color w:val="1D2228"/>
          <w:sz w:val="22"/>
        </w:rPr>
        <w:t>Validité des versions scd2 et fraîcheur.</w:t>
      </w:r>
    </w:p>
    <w:tbl>
      <w:tblPr>
        <w:tblW w:type="dxa" w:w="9360"/>
        <w:jc w:val="left"/>
        <w:tblLayout w:type="fixed"/>
        <w:tblLook w:firstColumn="1" w:firstRow="1" w:lastColumn="0" w:lastRow="0" w:noHBand="0" w:noVBand="1" w:val="04A0"/>
        <w:tblInd w:type="dxa" w:w="160"/>
        <w:tblBorders>
          <w:top w:val="single" w:sz="8" w:color="F4C9BD"/>
          <w:left w:val="single" w:sz="8" w:color="F4C9BD"/>
          <w:bottom w:val="single" w:sz="8" w:color="F4C9BD"/>
          <w:right w:val="single" w:sz="8" w:color="F4C9BD"/>
          <w:insideH w:val="single" w:sz="8" w:color="F4C9BD"/>
          <w:insideV w:val="single" w:sz="8" w:color="F4C9BD"/>
        </w:tblBorders>
      </w:tblPr>
      <w:tblGrid>
        <w:gridCol w:w="9360"/>
      </w:tblGrid>
      <w:tr>
        <w:trPr>
          <w:tblHeader w:val="true"/>
          <w:cantSplit/>
        </w:trPr>
        <w:tc>
          <w:tcPr>
            <w:tcW w:type="dxa" w:w="9360"/>
            <w:shd w:fill="FFF1ED"/>
            <w:tcMar>
              <w:top w:w="130" w:type="dxa"/>
              <w:bottom w:w="130" w:type="dxa"/>
              <w:start w:w="160" w:type="dxa"/>
              <w:end w:w="160" w:type="dxa"/>
            </w:tcMar>
          </w:tcPr>
          <w:p>
            <w:pPr>
              <w:spacing w:after="0"/>
            </w:pPr>
            <w:r/>
            <w:r>
              <w:rPr>
                <w:rFonts w:ascii="Calibri" w:hAnsi="Calibri"/>
                <w:b/>
                <w:i w:val="0"/>
                <w:color w:val="E65D3D"/>
                <w:sz w:val="19"/>
              </w:rPr>
              <w:t xml:space="preserve">RÉSULTAT  </w:t>
            </w:r>
            <w:r>
              <w:rPr>
                <w:rFonts w:ascii="Calibri" w:hAnsi="Calibri"/>
                <w:b w:val="0"/>
                <w:i w:val="0"/>
                <w:color w:val="0B2545"/>
                <w:sz w:val="19"/>
              </w:rPr>
              <w:t>16/16 contrôles réussis, score qualité 100 %, 0 unité d’écart entre batch et streaming.</w:t>
            </w:r>
          </w:p>
        </w:tc>
      </w:tr>
    </w:tbl>
    <w:p>
      <w:pPr>
        <w:spacing w:after="40"/>
      </w:pPr>
    </w:p>
    <w:p>
      <w:r>
        <w:rPr>
          <w:rFonts w:ascii="Calibri" w:hAnsi="Calibri"/>
          <w:b w:val="0"/>
          <w:i w:val="0"/>
          <w:color w:val="1D2228"/>
          <w:sz w:val="22"/>
        </w:rPr>
        <w:t>Pour la résilience, j’utilise une clé d’idempotence, une partition par client, des retries Airflow et le principe de dead-letter queue. CloudWatch porterait les alarmes de latence, d’erreur et de fraîcheur en production.</w:t>
      </w:r>
    </w:p>
    <w:p>
      <w:r>
        <w:br w:type="page"/>
      </w:r>
    </w:p>
    <w:p>
      <w:pPr>
        <w:pStyle w:val="Heading1"/>
      </w:pPr>
      <w:r>
        <w:t>9. Cockpit interactif</w:t>
      </w:r>
    </w:p>
    <w:tbl>
      <w:tblPr>
        <w:tblStyle w:val="TableGrid"/>
        <w:tblW w:type="dxa" w:w="9360"/>
        <w:tblLayout w:type="fixed"/>
        <w:tblLook w:firstColumn="1" w:firstRow="1" w:lastColumn="0" w:lastRow="0" w:noHBand="0" w:noVBand="1" w:val="04A0"/>
        <w:jc w:val="left"/>
        <w:tblBorders>
          <w:top w:val="single" w:sz="6" w:color="D9DEE5"/>
          <w:left w:val="single" w:sz="6" w:color="D9DEE5"/>
          <w:bottom w:val="single" w:sz="6" w:color="D9DEE5"/>
          <w:right w:val="single" w:sz="6" w:color="D9DEE5"/>
          <w:insideH w:val="single" w:sz="6" w:color="D9DEE5"/>
          <w:insideV w:val="single" w:sz="6" w:color="D9DEE5"/>
        </w:tblBorders>
        <w:tblInd w:type="dxa" w:w="120"/>
      </w:tblPr>
      <w:tblGrid>
        <w:gridCol w:w="2088"/>
        <w:gridCol w:w="3888"/>
        <w:gridCol w:w="3384"/>
      </w:tblGrid>
      <w:tr>
        <w:trPr>
          <w:tblHeader w:val="true"/>
          <w:cantSplit/>
        </w:trPr>
        <w:tc>
          <w:tcPr>
            <w:tcW w:type="dxa" w:w="2088"/>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Vue</w:t>
            </w:r>
          </w:p>
        </w:tc>
        <w:tc>
          <w:tcPr>
            <w:tcW w:type="dxa" w:w="3888"/>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Ce que je montre</w:t>
            </w:r>
          </w:p>
        </w:tc>
        <w:tc>
          <w:tcPr>
            <w:tcW w:type="dxa" w:w="3384"/>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Décision facilitée</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Vue d’ensemble</w:t>
            </w:r>
          </w:p>
        </w:tc>
        <w:tc>
          <w:tcPr>
            <w:tcW w:type="dxa" w:w="38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CA, canaux, catégories, réconciliation</w:t>
            </w:r>
          </w:p>
        </w:tc>
        <w:tc>
          <w:tcPr>
            <w:tcW w:type="dxa" w:w="338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Piloter l’activité</w:t>
            </w:r>
          </w:p>
        </w:tc>
      </w:tr>
      <w:tr>
        <w:trPr>
          <w:cantSplit/>
        </w:trPr>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Temps réel</w:t>
            </w:r>
          </w:p>
        </w:tc>
        <w:tc>
          <w:tcPr>
            <w:tcW w:type="dxa" w:w="38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Événements, débit et latence</w:t>
            </w:r>
          </w:p>
        </w:tc>
        <w:tc>
          <w:tcPr>
            <w:tcW w:type="dxa" w:w="338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Vérifier le SLA</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Stock &amp; ATP</w:t>
            </w:r>
          </w:p>
        </w:tc>
        <w:tc>
          <w:tcPr>
            <w:tcW w:type="dxa" w:w="38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Disponibilité et risques</w:t>
            </w:r>
          </w:p>
        </w:tc>
        <w:tc>
          <w:tcPr>
            <w:tcW w:type="dxa" w:w="338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Réapprovisionner</w:t>
            </w:r>
          </w:p>
        </w:tc>
      </w:tr>
      <w:tr>
        <w:trPr>
          <w:cantSplit/>
        </w:trPr>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Customer 360</w:t>
            </w:r>
          </w:p>
        </w:tc>
        <w:tc>
          <w:tcPr>
            <w:tcW w:type="dxa" w:w="38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Golden Records et RFM</w:t>
            </w:r>
          </w:p>
        </w:tc>
        <w:tc>
          <w:tcPr>
            <w:tcW w:type="dxa" w:w="338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Activer le CRM</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Pipeline &amp; Ops</w:t>
            </w:r>
          </w:p>
        </w:tc>
        <w:tc>
          <w:tcPr>
            <w:tcW w:type="dxa" w:w="38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Run local mesuré et architecture cible</w:t>
            </w:r>
          </w:p>
        </w:tc>
        <w:tc>
          <w:tcPr>
            <w:tcW w:type="dxa" w:w="338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Exploiter la plateforme</w:t>
            </w:r>
          </w:p>
        </w:tc>
      </w:tr>
      <w:tr>
        <w:trPr>
          <w:cantSplit/>
        </w:trPr>
        <w:tc>
          <w:tcPr>
            <w:tcW w:type="dxa" w:w="20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Qualité &amp; SCD2</w:t>
            </w:r>
          </w:p>
        </w:tc>
        <w:tc>
          <w:tcPr>
            <w:tcW w:type="dxa" w:w="3888"/>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Tests et historique de prix</w:t>
            </w:r>
          </w:p>
        </w:tc>
        <w:tc>
          <w:tcPr>
            <w:tcW w:type="dxa" w:w="3384"/>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Faire confiance aux KPI</w:t>
            </w:r>
          </w:p>
        </w:tc>
      </w:tr>
      <w:tr>
        <w:trPr>
          <w:cantSplit/>
        </w:trPr>
        <w:tc>
          <w:tcPr>
            <w:tcW w:type="dxa" w:w="20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FinOps</w:t>
            </w:r>
          </w:p>
        </w:tc>
        <w:tc>
          <w:tcPr>
            <w:tcW w:type="dxa" w:w="3888"/>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Scénario, hypothèses, budget, prévision</w:t>
            </w:r>
          </w:p>
        </w:tc>
        <w:tc>
          <w:tcPr>
            <w:tcW w:type="dxa" w:w="3384"/>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Optimiser le cloud</w:t>
            </w:r>
          </w:p>
        </w:tc>
      </w:tr>
    </w:tbl>
    <w:p>
      <w:pPr>
        <w:spacing w:after="40"/>
      </w:pPr>
    </w:p>
    <w:p>
      <w:r>
        <w:rPr>
          <w:rFonts w:ascii="Calibri" w:hAnsi="Calibri"/>
          <w:b w:val="0"/>
          <w:i w:val="0"/>
          <w:color w:val="1D2228"/>
          <w:sz w:val="22"/>
        </w:rPr>
        <w:t>Les filtres de canal et de période recalculent ventes, événements, mix, séries et réconciliation depuis l’API. Le cockpit propose un mode sombre ou clair, une navigation responsive, des recherches produits et clients, un export ATP et un modèle Black Friday.</w:t>
      </w:r>
    </w:p>
    <w:p>
      <w:pPr>
        <w:pStyle w:val="Heading1"/>
      </w:pPr>
      <w:r>
        <w:t>10. Simulation Black Friday et FinOps</w:t>
      </w:r>
    </w:p>
    <w:p>
      <w:r>
        <w:rPr>
          <w:rFonts w:ascii="Calibri" w:hAnsi="Calibri"/>
          <w:b w:val="0"/>
          <w:i w:val="0"/>
          <w:color w:val="1D2228"/>
          <w:sz w:val="22"/>
        </w:rPr>
        <w:t>Je peux multiplier une hypothèse nominale de 42 événements par seconde de 2 à 12. Le modèle estime le débit, les unités de capacité, la latence p95 et le surcoût avec 25 % de marge, puis conserve l’invariant comptable à zéro. Il ne génère aucun trafic cloud réel.</w:t>
      </w:r>
    </w:p>
    <w:p>
      <w:r>
        <w:rPr>
          <w:rFonts w:ascii="Calibri" w:hAnsi="Calibri"/>
          <w:b w:val="0"/>
          <w:i w:val="0"/>
          <w:color w:val="1D2228"/>
          <w:sz w:val="22"/>
        </w:rPr>
        <w:t>La vue FinOps repose sur un scénario explicite de 3,2 millions d’événements mensuels : les composants totalisent 486,70 € et retombent sur 0,15 € par millier d’événements. Cette démarche relie capacity planning, qualité et coût sans présenter l’estimation comme une facture.</w:t>
      </w:r>
    </w:p>
    <w:p>
      <w:pPr>
        <w:pStyle w:val="Heading1"/>
      </w:pPr>
      <w:r>
        <w:t>11. Exécution et Docker</w:t>
      </w:r>
    </w:p>
    <w:p>
      <w:pPr>
        <w:pStyle w:val="Heading2"/>
      </w:pPr>
      <w:r>
        <w:t>11.1 Sans Docker</w:t>
      </w:r>
    </w:p>
    <w:p>
      <w:pPr>
        <w:pStyle w:val="CodeBlock"/>
        <w:shd w:fill="F4F6F9"/>
      </w:pPr>
      <w:r>
        <w:rPr>
          <w:rFonts w:ascii="Aptos Mono" w:hAnsi="Aptos Mono"/>
          <w:b w:val="0"/>
          <w:i w:val="0"/>
          <w:color w:val="0B2545"/>
          <w:sz w:val="17"/>
        </w:rPr>
        <w:t>python3 run_demo.py</w:t>
        <w:br/>
        <w:t>python3 serve.py</w:t>
        <w:br/>
        <w:t># ouvrir http://127.0.0.1:8042</w:t>
      </w:r>
    </w:p>
    <w:p>
      <w:pPr>
        <w:pStyle w:val="Heading2"/>
      </w:pPr>
      <w:r>
        <w:t>11.2 Avec Docker</w:t>
      </w:r>
    </w:p>
    <w:p>
      <w:pPr>
        <w:pStyle w:val="CodeBlock"/>
        <w:shd w:fill="F4F6F9"/>
      </w:pPr>
      <w:r>
        <w:rPr>
          <w:rFonts w:ascii="Aptos Mono" w:hAnsi="Aptos Mono"/>
          <w:b w:val="0"/>
          <w:i w:val="0"/>
          <w:color w:val="0B2545"/>
          <w:sz w:val="17"/>
        </w:rPr>
        <w:t>docker compose up --build -d</w:t>
        <w:br/>
        <w:t># ouvrir http://127.0.0.1:8042</w:t>
        <w:br/>
        <w:t>docker compose down</w:t>
      </w:r>
    </w:p>
    <w:p>
      <w:r>
        <w:rPr>
          <w:rFonts w:ascii="Calibri" w:hAnsi="Calibri"/>
          <w:b w:val="0"/>
          <w:i w:val="0"/>
          <w:color w:val="1D2228"/>
          <w:sz w:val="22"/>
        </w:rPr>
        <w:t>L’image Python 3.13 génère les données, construit le warehouse, exécute les tests et expose un healthcheck sur /api/health. Une construction qui échoue aux tests ne produit pas d’image valide.</w:t>
      </w:r>
    </w:p>
    <w:p>
      <w:pPr>
        <w:pStyle w:val="Heading2"/>
      </w:pPr>
      <w:r>
        <w:t>11.3 Tests</w:t>
      </w:r>
    </w:p>
    <w:p>
      <w:pPr>
        <w:pStyle w:val="CodeBlock"/>
        <w:shd w:fill="F4F6F9"/>
      </w:pPr>
      <w:r>
        <w:rPr>
          <w:rFonts w:ascii="Aptos Mono" w:hAnsi="Aptos Mono"/>
          <w:b w:val="0"/>
          <w:i w:val="0"/>
          <w:color w:val="0B2545"/>
          <w:sz w:val="17"/>
        </w:rPr>
        <w:t>python3 -m unittest discover -s tests -v</w:t>
      </w:r>
    </w:p>
    <w:p>
      <w:r>
        <w:rPr>
          <w:rFonts w:ascii="Calibri" w:hAnsi="Calibri"/>
          <w:b w:val="0"/>
          <w:i w:val="0"/>
          <w:color w:val="1D2228"/>
          <w:sz w:val="22"/>
        </w:rPr>
        <w:t>Les tests vérifient les totaux des séries et graphiques, les filtres ventes/événements, le p95 calculé, la réconciliation, les 24 versions SCD2, chaque formule ATP et la cohérence arithmétique du scénario FinOps.</w:t>
      </w:r>
    </w:p>
    <w:p>
      <w:pPr>
        <w:pStyle w:val="Heading1"/>
      </w:pPr>
      <w:r>
        <w:t>12. Correspondance avec un poste Data Engineer Retail</w:t>
      </w:r>
    </w:p>
    <w:tbl>
      <w:tblPr>
        <w:tblStyle w:val="TableGrid"/>
        <w:tblW w:type="dxa" w:w="9360"/>
        <w:tblLayout w:type="fixed"/>
        <w:tblLook w:firstColumn="1" w:firstRow="1" w:lastColumn="0" w:lastRow="0" w:noHBand="0" w:noVBand="1" w:val="04A0"/>
        <w:jc w:val="left"/>
        <w:tblBorders>
          <w:top w:val="single" w:sz="6" w:color="D9DEE5"/>
          <w:left w:val="single" w:sz="6" w:color="D9DEE5"/>
          <w:bottom w:val="single" w:sz="6" w:color="D9DEE5"/>
          <w:right w:val="single" w:sz="6" w:color="D9DEE5"/>
          <w:insideH w:val="single" w:sz="6" w:color="D9DEE5"/>
          <w:insideV w:val="single" w:sz="6" w:color="D9DEE5"/>
        </w:tblBorders>
        <w:tblInd w:type="dxa" w:w="120"/>
      </w:tblPr>
      <w:tblGrid>
        <w:gridCol w:w="2880"/>
        <w:gridCol w:w="6480"/>
      </w:tblGrid>
      <w:tr>
        <w:trPr>
          <w:tblHeader w:val="true"/>
          <w:cantSplit/>
        </w:trPr>
        <w:tc>
          <w:tcPr>
            <w:tcW w:type="dxa" w:w="2880"/>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Attente</w:t>
            </w:r>
          </w:p>
        </w:tc>
        <w:tc>
          <w:tcPr>
            <w:tcW w:type="dxa" w:w="6480"/>
            <w:vAlign w:val="center"/>
            <w:shd w:fill="E8EEF5"/>
            <w:tcMar>
              <w:top w:w="80" w:type="dxa"/>
              <w:bottom w:w="80" w:type="dxa"/>
              <w:start w:w="120" w:type="dxa"/>
              <w:end w:w="120" w:type="dxa"/>
            </w:tcMar>
          </w:tcPr>
          <w:p>
            <w:pPr>
              <w:spacing w:after="0" w:line="264" w:lineRule="auto"/>
              <w:jc w:val="left"/>
            </w:pPr>
            <w:r/>
            <w:r>
              <w:rPr>
                <w:rFonts w:ascii="Calibri" w:hAnsi="Calibri"/>
                <w:b/>
                <w:i w:val="0"/>
                <w:color w:val="0B2545"/>
                <w:sz w:val="17"/>
              </w:rPr>
              <w:t>Preuve dans mon projet</w:t>
            </w:r>
          </w:p>
        </w:tc>
      </w:tr>
      <w:tr>
        <w:trPr>
          <w:cantSplit/>
        </w:trPr>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Airbyte</w:t>
            </w:r>
          </w:p>
        </w:tc>
        <w:tc>
          <w:tcPr>
            <w:tcW w:type="dxa" w:w="64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Sources CRM, ERP, PLM et supply représentées</w:t>
            </w:r>
          </w:p>
        </w:tc>
      </w:tr>
      <w:tr>
        <w:trPr>
          <w:cantSplit/>
        </w:trPr>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AWS Lambda</w:t>
            </w:r>
          </w:p>
        </w:tc>
        <w:tc>
          <w:tcPr>
            <w:tcW w:type="dxa" w:w="64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Validation et enrichissement des événements</w:t>
            </w:r>
          </w:p>
        </w:tc>
      </w:tr>
      <w:tr>
        <w:trPr>
          <w:cantSplit/>
        </w:trPr>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Amazon Kinesis</w:t>
            </w:r>
          </w:p>
        </w:tc>
        <w:tc>
          <w:tcPr>
            <w:tcW w:type="dxa" w:w="64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Achats, consultations, paniers et partitionnement</w:t>
            </w:r>
          </w:p>
        </w:tc>
      </w:tr>
      <w:tr>
        <w:trPr>
          <w:cantSplit/>
        </w:trPr>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Snowflake / Databricks</w:t>
            </w:r>
          </w:p>
        </w:tc>
        <w:tc>
          <w:tcPr>
            <w:tcW w:type="dxa" w:w="64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Warehouse dimensionnel transposable</w:t>
            </w:r>
          </w:p>
        </w:tc>
      </w:tr>
      <w:tr>
        <w:trPr>
          <w:cantSplit/>
        </w:trPr>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dbt</w:t>
            </w:r>
          </w:p>
        </w:tc>
        <w:tc>
          <w:tcPr>
            <w:tcW w:type="dxa" w:w="64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Staging, incrémental, documentation et tests</w:t>
            </w:r>
          </w:p>
        </w:tc>
      </w:tr>
      <w:tr>
        <w:trPr>
          <w:cantSplit/>
        </w:trPr>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SCD</w:t>
            </w:r>
          </w:p>
        </w:tc>
        <w:tc>
          <w:tcPr>
            <w:tcW w:type="dxa" w:w="64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Historisation SCD Type 2 des prix</w:t>
            </w:r>
          </w:p>
        </w:tc>
      </w:tr>
      <w:tr>
        <w:trPr>
          <w:cantSplit/>
        </w:trPr>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Airflow</w:t>
            </w:r>
          </w:p>
        </w:tc>
        <w:tc>
          <w:tcPr>
            <w:tcW w:type="dxa" w:w="64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DAG, retries, dépendances et publishing gate</w:t>
            </w:r>
          </w:p>
        </w:tc>
      </w:tr>
      <w:tr>
        <w:trPr>
          <w:cantSplit/>
        </w:trPr>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Qualité</w:t>
            </w:r>
          </w:p>
        </w:tc>
        <w:tc>
          <w:tcPr>
            <w:tcW w:type="dxa" w:w="64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Seize contrôles et réconciliation comptable filtrée</w:t>
            </w:r>
          </w:p>
        </w:tc>
      </w:tr>
      <w:tr>
        <w:trPr>
          <w:cantSplit/>
        </w:trPr>
        <w:tc>
          <w:tcPr>
            <w:tcW w:type="dxa" w:w="28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Retail Core</w:t>
            </w:r>
          </w:p>
        </w:tc>
        <w:tc>
          <w:tcPr>
            <w:tcW w:type="dxa" w:w="6480"/>
            <w:vAlign w:val="center"/>
            <w:tcMar>
              <w:top w:w="80" w:type="dxa"/>
              <w:bottom w:w="80" w:type="dxa"/>
              <w:start w:w="120" w:type="dxa"/>
              <w:end w:w="120" w:type="dxa"/>
            </w:tcMar>
          </w:tcPr>
          <w:p>
            <w:pPr>
              <w:spacing w:after="0" w:line="264" w:lineRule="auto"/>
              <w:jc w:val="left"/>
            </w:pPr>
            <w:r/>
            <w:r>
              <w:rPr>
                <w:rFonts w:ascii="Calibri" w:hAnsi="Calibri"/>
                <w:b w:val="0"/>
                <w:i w:val="0"/>
                <w:color w:val="1D2228"/>
                <w:sz w:val="17"/>
              </w:rPr>
              <w:t>Produit, omnicanalité, ATP et Customer 360</w:t>
            </w:r>
          </w:p>
        </w:tc>
      </w:tr>
      <w:tr>
        <w:trPr>
          <w:cantSplit/>
        </w:trPr>
        <w:tc>
          <w:tcPr>
            <w:tcW w:type="dxa" w:w="28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FinOps</w:t>
            </w:r>
          </w:p>
        </w:tc>
        <w:tc>
          <w:tcPr>
            <w:tcW w:type="dxa" w:w="6480"/>
            <w:vAlign w:val="center"/>
            <w:shd w:fill="FAFBFC"/>
            <w:tcMar>
              <w:top w:w="80" w:type="dxa"/>
              <w:bottom w:w="80" w:type="dxa"/>
              <w:start w:w="120" w:type="dxa"/>
              <w:end w:w="120" w:type="dxa"/>
            </w:tcMar>
          </w:tcPr>
          <w:p>
            <w:pPr>
              <w:spacing w:after="0" w:line="264" w:lineRule="auto"/>
              <w:jc w:val="left"/>
            </w:pPr>
            <w:r/>
            <w:r>
              <w:rPr>
                <w:rFonts w:ascii="Calibri" w:hAnsi="Calibri"/>
                <w:b w:val="0"/>
                <w:i w:val="0"/>
                <w:color w:val="1D2228"/>
                <w:sz w:val="17"/>
              </w:rPr>
              <w:t>Budget, prévision et optimisation du compute</w:t>
            </w:r>
          </w:p>
        </w:tc>
      </w:tr>
    </w:tbl>
    <w:p>
      <w:pPr>
        <w:spacing w:after="40"/>
      </w:pPr>
    </w:p>
    <w:p>
      <w:pPr>
        <w:pStyle w:val="Heading1"/>
      </w:pPr>
      <w:r>
        <w:t>13. Limites et prochaines étapes</w:t>
      </w:r>
    </w:p>
    <w:p>
      <w:r>
        <w:rPr>
          <w:rFonts w:ascii="Calibri" w:hAnsi="Calibri"/>
          <w:b w:val="0"/>
          <w:i w:val="0"/>
          <w:color w:val="1D2228"/>
          <w:sz w:val="22"/>
        </w:rPr>
        <w:t>SQLite et les fichiers locaux remplacent les services cloud pour conserver une démonstration gratuite et reproductible. Le code dbt, le DAG Airflow et la Lambda montrent la transposition cible, mais le projet ne provisionne pas réellement AWS ou Snowflake.</w:t>
      </w:r>
    </w:p>
    <w:p>
      <w:r>
        <w:rPr>
          <w:rFonts w:ascii="Calibri" w:hAnsi="Calibri"/>
          <w:b w:val="0"/>
          <w:i w:val="0"/>
          <w:color w:val="1D2228"/>
          <w:sz w:val="22"/>
        </w:rPr>
        <w:t>Pour une production, j’ajouterais Terraform, un registre de schémas, une dead-letter queue, AWS Secrets Manager, une CI/CD, des tests de charge distribués et une politique de rétention conforme au RGPD.</w:t>
      </w:r>
    </w:p>
    <w:p>
      <w:r>
        <w:br w:type="page"/>
      </w:r>
    </w:p>
    <w:p>
      <w:pPr>
        <w:pStyle w:val="Heading1"/>
      </w:pPr>
      <w:r>
        <w:t>14. Pitch entretien</w:t>
      </w:r>
    </w:p>
    <w:tbl>
      <w:tblPr>
        <w:tblW w:type="dxa" w:w="9360"/>
        <w:jc w:val="left"/>
        <w:tblLayout w:type="fixed"/>
        <w:tblLook w:firstColumn="1" w:firstRow="1" w:lastColumn="0" w:lastRow="0" w:noHBand="0" w:noVBand="1" w:val="04A0"/>
        <w:tblInd w:type="dxa" w:w="160"/>
        <w:tblBorders>
          <w:top w:val="single" w:sz="8" w:color="F4C9BD"/>
          <w:left w:val="single" w:sz="8" w:color="F4C9BD"/>
          <w:bottom w:val="single" w:sz="8" w:color="F4C9BD"/>
          <w:right w:val="single" w:sz="8" w:color="F4C9BD"/>
          <w:insideH w:val="single" w:sz="8" w:color="F4C9BD"/>
          <w:insideV w:val="single" w:sz="8" w:color="F4C9BD"/>
        </w:tblBorders>
      </w:tblPr>
      <w:tblGrid>
        <w:gridCol w:w="9360"/>
      </w:tblGrid>
      <w:tr>
        <w:trPr>
          <w:tblHeader w:val="true"/>
          <w:cantSplit/>
        </w:trPr>
        <w:tc>
          <w:tcPr>
            <w:tcW w:type="dxa" w:w="9360"/>
            <w:shd w:fill="FFF1ED"/>
            <w:tcMar>
              <w:top w:w="130" w:type="dxa"/>
              <w:bottom w:w="130" w:type="dxa"/>
              <w:start w:w="160" w:type="dxa"/>
              <w:end w:w="160" w:type="dxa"/>
            </w:tcMar>
          </w:tcPr>
          <w:p>
            <w:pPr>
              <w:spacing w:after="0"/>
            </w:pPr>
            <w:r/>
            <w:r>
              <w:rPr>
                <w:rFonts w:ascii="Calibri" w:hAnsi="Calibri"/>
                <w:b/>
                <w:i w:val="0"/>
                <w:color w:val="E65D3D"/>
                <w:sz w:val="19"/>
              </w:rPr>
              <w:t xml:space="preserve">90 SECONDES  </w:t>
            </w:r>
            <w:r>
              <w:rPr>
                <w:rFonts w:ascii="Calibri" w:hAnsi="Calibri"/>
                <w:b w:val="0"/>
                <w:i w:val="0"/>
                <w:color w:val="0B2545"/>
                <w:sz w:val="19"/>
              </w:rPr>
              <w:t>J’ai construit un Retail Core Lakehouse qui réunit les ventes web, magasin et marketplace avec les données clients, produits et stocks. Le pipeline gère 960 ventes et plus de 3 000 événements simulés, calcule l’ATP, historise les prix en SCD Type 2 et réconcilie le streaming avec le batch. Avant toute publication, seize contrôles constituent un publishing gate. J’ai également ajouté un cockpit interactif, un modèle de capacité Black Friday et un scénario FinOps dont les hypothèses sont explicites. La version locale utilise SQLite pour rester démontrable gratuitement, mais les frontières techniques sont directement transposables vers S3, Lambda, Kinesis, Snowflake, dbt et Airflow.</w:t>
            </w:r>
          </w:p>
        </w:tc>
      </w:tr>
    </w:tbl>
    <w:p>
      <w:pPr>
        <w:spacing w:after="40"/>
      </w:pPr>
    </w:p>
    <w:p>
      <w:r>
        <w:rPr>
          <w:rFonts w:ascii="Calibri" w:hAnsi="Calibri"/>
          <w:b w:val="0"/>
          <w:i w:val="0"/>
          <w:color w:val="1D2228"/>
          <w:sz w:val="22"/>
        </w:rPr>
        <w:t>Ce projet montre que je sais relier architecture, code et besoin métier. Je ne me contente pas de déplacer des données : je définis leur grain, leur qualité, leur cycle de vie, leur coût et leur utilité pour le retail.</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07C"/>
        <w:sz w:val="17"/>
      </w:rPr>
      <w:t xml:space="preserve">Projet Data Engineering retail   ·   </w:t>
    </w:r>
    <w:r>
      <w:rPr>
        <w:rFonts w:ascii="Calibri" w:hAnsi="Calibri"/>
        <w:b w:val="0"/>
        <w:i w:val="0"/>
        <w:color w:val="64707C"/>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4707C"/>
        <w:sz w:val="16"/>
      </w:rPr>
      <w:t>RETAIL CORE LAKEHOUSE</w:t>
    </w:r>
    <w:r>
      <w:rPr>
        <w:rFonts w:ascii="Calibri" w:hAnsi="Calibri"/>
        <w:b w:val="0"/>
        <w:i w:val="0"/>
        <w:color w:val="2E74B5"/>
        <w:sz w:val="16"/>
      </w:rPr>
      <w:t xml:space="preserve">   ·   IKEL OUEDRAOGO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D22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64" w:lineRule="auto"/>
      <w:ind w:left="230" w:right="230"/>
    </w:pPr>
    <w:rPr>
      <w:rFonts w:ascii="Aptos Mono" w:hAnsi="Aptos Mono"/>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Core Lakehouse - Projet Data Engineering retail</dc:title>
  <dc:subject>Dossier de présentation Data Engineering Retail</dc:subject>
  <dc:creator>Ikel Ouedraogo</dc:creator>
  <cp:keywords>Data Engineering, Retail, AWS, Kinesis, dbt, Airflow, Snowflake</cp:keywords>
  <dc:description>generated by python-docx</dc:description>
  <cp:lastModifiedBy/>
  <cp:revision>1</cp:revision>
  <dcterms:created xsi:type="dcterms:W3CDTF">2013-12-23T23:15:00Z</dcterms:created>
  <dcterms:modified xsi:type="dcterms:W3CDTF">2013-12-23T23:15:00Z</dcterms:modified>
  <cp:category/>
</cp:coreProperties>
</file>