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Business Analytics Case Study</w:t>
      </w:r>
    </w:p>
    <w:p>
      <w:pPr>
        <w:spacing w:after="40"/>
        <w:jc w:val="center"/>
      </w:pPr>
      <w:r>
        <w:rPr>
          <w:color w:val="444444"/>
          <w:sz w:val="28"/>
          <w:szCs w:val="28"/>
        </w:rPr>
        <w:t xml:space="preserve">Customer Churn Analysis — Telco Dataset</w:t>
      </w:r>
    </w:p>
    <w:p>
      <w:pPr>
        <w:spacing w:after="400"/>
        <w:jc w:val="center"/>
      </w:pPr>
      <w:r>
        <w:rPr>
          <w:i/>
          <w:iCs/>
          <w:color w:val="808080"/>
          <w:sz w:val="22"/>
          <w:szCs w:val="22"/>
        </w:rPr>
        <w:t xml:space="preserve">Week 5 · AnalystLab Africa Data Analytics Internship</w:t>
      </w:r>
    </w:p>
    <w:p>
      <w:pPr>
        <w:pStyle w:val="Heading1"/>
        <w:spacing w:after="150" w:before="300"/>
      </w:pPr>
      <w:r>
        <w:t xml:space="preserve">1. Introduction</w:t>
      </w:r>
    </w:p>
    <w:p>
      <w:pPr>
        <w:spacing w:after="160"/>
      </w:pPr>
      <w:r>
        <w:t xml:space="preserve">Customer churn — the loss of existing customers to competitors or cancellation — is one of the most direct threats to revenue for subscription-based businesses. This case study analyzes a telecommunications customer dataset to understand why customers leave and to translate those patterns into concrete, actionable recommendations for the business.</w:t>
      </w:r>
    </w:p>
    <w:p>
      <w:pPr>
        <w:pStyle w:val="Heading1"/>
        <w:spacing w:after="150" w:before="300"/>
      </w:pPr>
      <w:r>
        <w:t xml:space="preserve">2. Business Problem Statement</w:t>
      </w:r>
    </w:p>
    <w:p>
      <w:pPr>
        <w:spacing w:after="160"/>
      </w:pPr>
      <w:r>
        <w:t xml:space="preserve">The company is experiencing customer churn at a meaningful scale and wants to understand which customer characteristics and behaviors are most associated with leaving. The guiding questions for this analysis were:</w:t>
      </w:r>
    </w:p>
    <w:p>
      <w:pPr>
        <w:pStyle w:val="ListParagraph"/>
        <w:numPr>
          <w:ilvl w:val="0"/>
          <w:numId w:val="2"/>
        </w:numPr>
        <w:spacing w:after="100"/>
      </w:pPr>
      <w:r>
        <w:rPr>
          <w:b w:val="false"/>
          <w:bCs w:val="false"/>
        </w:rPr>
        <w:t xml:space="preserve">Why are customers leaving?</w:t>
      </w:r>
    </w:p>
    <w:p>
      <w:pPr>
        <w:pStyle w:val="ListParagraph"/>
        <w:numPr>
          <w:ilvl w:val="0"/>
          <w:numId w:val="2"/>
        </w:numPr>
        <w:spacing w:after="100"/>
      </w:pPr>
      <w:r>
        <w:rPr>
          <w:b w:val="false"/>
          <w:bCs w:val="false"/>
        </w:rPr>
        <w:t xml:space="preserve">Which customer segments are most at risk of churning?</w:t>
      </w:r>
    </w:p>
    <w:p>
      <w:pPr>
        <w:pStyle w:val="ListParagraph"/>
        <w:numPr>
          <w:ilvl w:val="0"/>
          <w:numId w:val="2"/>
        </w:numPr>
        <w:spacing w:after="100"/>
      </w:pPr>
      <w:r>
        <w:rPr>
          <w:b w:val="false"/>
          <w:bCs w:val="false"/>
        </w:rPr>
        <w:t xml:space="preserve">What can the business do, concretely, to reduce churn?</w:t>
      </w:r>
    </w:p>
    <w:p>
      <w:pPr>
        <w:pStyle w:val="Heading1"/>
        <w:spacing w:after="150" w:before="300"/>
      </w:pPr>
      <w:r>
        <w:t xml:space="preserve">3. Dataset Description</w:t>
      </w:r>
    </w:p>
    <w:p>
      <w:pPr>
        <w:spacing w:after="160"/>
      </w:pPr>
      <w:r>
        <w:t xml:space="preserve">The analysis uses the Telco Customer Churn dataset, containing 7,043 customer records across 21 attributes, including:</w:t>
      </w:r>
    </w:p>
    <w:p>
      <w:pPr>
        <w:pStyle w:val="ListParagraph"/>
        <w:numPr>
          <w:ilvl w:val="0"/>
          <w:numId w:val="2"/>
        </w:numPr>
        <w:spacing w:after="100"/>
      </w:pPr>
      <w:r>
        <w:rPr>
          <w:b w:val="false"/>
          <w:bCs w:val="false"/>
        </w:rPr>
        <w:t xml:space="preserve">Demographics: gender, senior citizen status, partner and dependent status</w:t>
      </w:r>
    </w:p>
    <w:p>
      <w:pPr>
        <w:pStyle w:val="ListParagraph"/>
        <w:numPr>
          <w:ilvl w:val="0"/>
          <w:numId w:val="2"/>
        </w:numPr>
        <w:spacing w:after="100"/>
      </w:pPr>
      <w:r>
        <w:rPr>
          <w:b w:val="false"/>
          <w:bCs w:val="false"/>
        </w:rPr>
        <w:t xml:space="preserve">Account information: tenure, contract type, payment method, billing preferences</w:t>
      </w:r>
    </w:p>
    <w:p>
      <w:pPr>
        <w:pStyle w:val="ListParagraph"/>
        <w:numPr>
          <w:ilvl w:val="0"/>
          <w:numId w:val="2"/>
        </w:numPr>
        <w:spacing w:after="100"/>
      </w:pPr>
      <w:r>
        <w:rPr>
          <w:b w:val="false"/>
          <w:bCs w:val="false"/>
        </w:rPr>
        <w:t xml:space="preserve">Services subscribed: internet service, phone service, streaming, security add-ons</w:t>
      </w:r>
    </w:p>
    <w:p>
      <w:pPr>
        <w:pStyle w:val="ListParagraph"/>
        <w:numPr>
          <w:ilvl w:val="0"/>
          <w:numId w:val="2"/>
        </w:numPr>
        <w:spacing w:after="100"/>
      </w:pPr>
      <w:r>
        <w:rPr>
          <w:b w:val="false"/>
          <w:bCs w:val="false"/>
        </w:rPr>
        <w:t xml:space="preserve">Charges: monthly charges and total charges billed to date</w:t>
      </w:r>
    </w:p>
    <w:p>
      <w:pPr>
        <w:pStyle w:val="ListParagraph"/>
        <w:numPr>
          <w:ilvl w:val="0"/>
          <w:numId w:val="2"/>
        </w:numPr>
        <w:spacing w:after="100"/>
      </w:pPr>
      <w:r>
        <w:rPr>
          <w:b w:val="false"/>
          <w:bCs w:val="false"/>
        </w:rPr>
        <w:t xml:space="preserve">Target variable: Churn (Yes/No)</w:t>
      </w:r>
    </w:p>
    <w:p>
      <w:pPr>
        <w:spacing w:after="160"/>
      </w:pPr>
      <w:r>
        <w:t xml:space="preserve">The dataset required one cleaning step: 11 records had a blank value in the TotalCharges field rather than a number. These were all customers with zero tenure (i.e., brand-new sign-ups with no billing history yet), so the blanks were replaced with 0 and the column was converted to a numeric type.</w:t>
      </w:r>
    </w:p>
    <w:p>
      <w:pPr>
        <w:spacing w:after="160"/>
      </w:pPr>
      <w:r>
        <w:t xml:space="preserve">Overall, 26.5% of customers in the dataset churned. This figure serves as the baseline against which every other churn rate in this report should be compared.</w:t>
      </w:r>
    </w:p>
    <w:p>
      <w:pPr>
        <w:pStyle w:val="Heading1"/>
        <w:spacing w:after="150" w:before="300"/>
      </w:pPr>
      <w:r>
        <w:t xml:space="preserve">4. Analysis &amp; Key Drivers</w:t>
      </w:r>
    </w:p>
    <w:p>
      <w:pPr>
        <w:spacing w:after="160"/>
      </w:pPr>
      <w:r>
        <w:t xml:space="preserve">Exploratory analysis examined the distribution of tenure, monthly charges, and total charges, along with churn rates broken down by contract type, payment method, and internet service type. The table below summarizes the five factors most strongly associated with churn, ranked by the size of the gap between their highest-risk and lowest-risk groups.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tblHeader/>
        </w:trPr>
        <w:tc>
          <w:tcPr>
            <w:tcW w:type="dxa" w:w="2000"/>
            <w:shd w:fill="1F4E79" w:val="clear"/>
          </w:tcPr>
          <w:p>
            <w:r>
              <w:rPr>
                <w:b/>
                <w:bCs/>
                <w:color w:val="FFFFFF"/>
              </w:rPr>
              <w:t xml:space="preserve">Driver</w:t>
            </w:r>
          </w:p>
        </w:tc>
        <w:tc>
          <w:tcPr>
            <w:tcW w:type="dxa" w:w="2000"/>
            <w:shd w:fill="1F4E79" w:val="clear"/>
          </w:tcPr>
          <w:p>
            <w:r>
              <w:rPr>
                <w:b/>
                <w:bCs/>
                <w:color w:val="FFFFFF"/>
              </w:rPr>
              <w:t xml:space="preserve">Highest-Risk Group</w:t>
            </w:r>
          </w:p>
        </w:tc>
        <w:tc>
          <w:tcPr>
            <w:tcW w:type="dxa" w:w="2000"/>
            <w:shd w:fill="1F4E79" w:val="clear"/>
          </w:tcPr>
          <w:p>
            <w:r>
              <w:rPr>
                <w:b/>
                <w:bCs/>
                <w:color w:val="FFFFFF"/>
              </w:rPr>
              <w:t xml:space="preserve">Churn Rate</w:t>
            </w:r>
          </w:p>
        </w:tc>
        <w:tc>
          <w:tcPr>
            <w:tcW w:type="dxa" w:w="2000"/>
            <w:shd w:fill="1F4E79" w:val="clear"/>
          </w:tcPr>
          <w:p>
            <w:r>
              <w:rPr>
                <w:b/>
                <w:bCs/>
                <w:color w:val="FFFFFF"/>
              </w:rPr>
              <w:t xml:space="preserve">Lowest-Risk Group</w:t>
            </w:r>
          </w:p>
        </w:tc>
        <w:tc>
          <w:tcPr>
            <w:tcW w:type="dxa" w:w="2000"/>
            <w:shd w:fill="1F4E79" w:val="clear"/>
          </w:tcPr>
          <w:p>
            <w:r>
              <w:rPr>
                <w:b/>
                <w:bCs/>
                <w:color w:val="FFFFFF"/>
              </w:rPr>
              <w:t xml:space="preserve">Churn Rate</w:t>
            </w:r>
          </w:p>
        </w:tc>
      </w:tr>
      <w:tr>
        <w:tc>
          <w:tcPr>
            <w:tcW w:type="dxa" w:w="2000"/>
            <w:shd w:fill="FFFFFF" w:val="clear"/>
          </w:tcPr>
          <w:p>
            <w:r>
              <w:rPr>
                <w:b/>
                <w:bCs/>
              </w:rPr>
              <w:t xml:space="preserve">Contract Type</w:t>
            </w:r>
          </w:p>
        </w:tc>
        <w:tc>
          <w:tcPr>
            <w:tcW w:type="dxa" w:w="2000"/>
            <w:shd w:fill="FFFFFF" w:val="clear"/>
          </w:tcPr>
          <w:p>
            <w:r>
              <w:rPr>
                <w:b w:val="false"/>
                <w:bCs w:val="false"/>
              </w:rPr>
              <w:t xml:space="preserve">Month-to-month</w:t>
            </w:r>
          </w:p>
        </w:tc>
        <w:tc>
          <w:tcPr>
            <w:tcW w:type="dxa" w:w="2000"/>
            <w:shd w:fill="FFFFFF" w:val="clear"/>
          </w:tcPr>
          <w:p>
            <w:r>
              <w:rPr>
                <w:b w:val="false"/>
                <w:bCs w:val="false"/>
              </w:rPr>
              <w:t xml:space="preserve">42.7%</w:t>
            </w:r>
          </w:p>
        </w:tc>
        <w:tc>
          <w:tcPr>
            <w:tcW w:type="dxa" w:w="2000"/>
            <w:shd w:fill="FFFFFF" w:val="clear"/>
          </w:tcPr>
          <w:p>
            <w:r>
              <w:rPr>
                <w:b w:val="false"/>
                <w:bCs w:val="false"/>
              </w:rPr>
              <w:t xml:space="preserve">Two-year contract</w:t>
            </w:r>
          </w:p>
        </w:tc>
        <w:tc>
          <w:tcPr>
            <w:tcW w:type="dxa" w:w="2000"/>
            <w:shd w:fill="FFFFFF" w:val="clear"/>
          </w:tcPr>
          <w:p>
            <w:r>
              <w:rPr>
                <w:b w:val="false"/>
                <w:bCs w:val="false"/>
              </w:rPr>
              <w:t xml:space="preserve">2.8%</w:t>
            </w:r>
          </w:p>
        </w:tc>
      </w:tr>
      <w:tr>
        <w:tc>
          <w:tcPr>
            <w:tcW w:type="dxa" w:w="2000"/>
            <w:shd w:fill="DCE6F1" w:val="clear"/>
          </w:tcPr>
          <w:p>
            <w:r>
              <w:rPr>
                <w:b/>
                <w:bCs/>
              </w:rPr>
              <w:t xml:space="preserve">Payment Method</w:t>
            </w:r>
          </w:p>
        </w:tc>
        <w:tc>
          <w:tcPr>
            <w:tcW w:type="dxa" w:w="2000"/>
            <w:shd w:fill="DCE6F1" w:val="clear"/>
          </w:tcPr>
          <w:p>
            <w:r>
              <w:rPr>
                <w:b w:val="false"/>
                <w:bCs w:val="false"/>
              </w:rPr>
              <w:t xml:space="preserve">Electronic check</w:t>
            </w:r>
          </w:p>
        </w:tc>
        <w:tc>
          <w:tcPr>
            <w:tcW w:type="dxa" w:w="2000"/>
            <w:shd w:fill="DCE6F1" w:val="clear"/>
          </w:tcPr>
          <w:p>
            <w:r>
              <w:rPr>
                <w:b w:val="false"/>
                <w:bCs w:val="false"/>
              </w:rPr>
              <w:t xml:space="preserve">45.3%</w:t>
            </w:r>
          </w:p>
        </w:tc>
        <w:tc>
          <w:tcPr>
            <w:tcW w:type="dxa" w:w="2000"/>
            <w:shd w:fill="DCE6F1" w:val="clear"/>
          </w:tcPr>
          <w:p>
            <w:r>
              <w:rPr>
                <w:b w:val="false"/>
                <w:bCs w:val="false"/>
              </w:rPr>
              <w:t xml:space="preserve">Credit card (auto)</w:t>
            </w:r>
          </w:p>
        </w:tc>
        <w:tc>
          <w:tcPr>
            <w:tcW w:type="dxa" w:w="2000"/>
            <w:shd w:fill="DCE6F1" w:val="clear"/>
          </w:tcPr>
          <w:p>
            <w:r>
              <w:rPr>
                <w:b w:val="false"/>
                <w:bCs w:val="false"/>
              </w:rPr>
              <w:t xml:space="preserve">15.2%</w:t>
            </w:r>
          </w:p>
        </w:tc>
      </w:tr>
      <w:tr>
        <w:tc>
          <w:tcPr>
            <w:tcW w:type="dxa" w:w="2000"/>
            <w:shd w:fill="FFFFFF" w:val="clear"/>
          </w:tcPr>
          <w:p>
            <w:r>
              <w:rPr>
                <w:b/>
                <w:bCs/>
              </w:rPr>
              <w:t xml:space="preserve">Internet Service</w:t>
            </w:r>
          </w:p>
        </w:tc>
        <w:tc>
          <w:tcPr>
            <w:tcW w:type="dxa" w:w="2000"/>
            <w:shd w:fill="FFFFFF" w:val="clear"/>
          </w:tcPr>
          <w:p>
            <w:r>
              <w:rPr>
                <w:b w:val="false"/>
                <w:bCs w:val="false"/>
              </w:rPr>
              <w:t xml:space="preserve">Fiber optic</w:t>
            </w:r>
          </w:p>
        </w:tc>
        <w:tc>
          <w:tcPr>
            <w:tcW w:type="dxa" w:w="2000"/>
            <w:shd w:fill="FFFFFF" w:val="clear"/>
          </w:tcPr>
          <w:p>
            <w:r>
              <w:rPr>
                <w:b w:val="false"/>
                <w:bCs w:val="false"/>
              </w:rPr>
              <w:t xml:space="preserve">41.9%</w:t>
            </w:r>
          </w:p>
        </w:tc>
        <w:tc>
          <w:tcPr>
            <w:tcW w:type="dxa" w:w="2000"/>
            <w:shd w:fill="FFFFFF" w:val="clear"/>
          </w:tcPr>
          <w:p>
            <w:r>
              <w:rPr>
                <w:b w:val="false"/>
                <w:bCs w:val="false"/>
              </w:rPr>
              <w:t xml:space="preserve">No internet service</w:t>
            </w:r>
          </w:p>
        </w:tc>
        <w:tc>
          <w:tcPr>
            <w:tcW w:type="dxa" w:w="2000"/>
            <w:shd w:fill="FFFFFF" w:val="clear"/>
          </w:tcPr>
          <w:p>
            <w:r>
              <w:rPr>
                <w:b w:val="false"/>
                <w:bCs w:val="false"/>
              </w:rPr>
              <w:t xml:space="preserve">7.4%</w:t>
            </w:r>
          </w:p>
        </w:tc>
      </w:tr>
      <w:tr>
        <w:tc>
          <w:tcPr>
            <w:tcW w:type="dxa" w:w="2000"/>
            <w:shd w:fill="DCE6F1" w:val="clear"/>
          </w:tcPr>
          <w:p>
            <w:r>
              <w:rPr>
                <w:b/>
                <w:bCs/>
              </w:rPr>
              <w:t xml:space="preserve">Tenure (avg. months)</w:t>
            </w:r>
          </w:p>
        </w:tc>
        <w:tc>
          <w:tcPr>
            <w:tcW w:type="dxa" w:w="2000"/>
            <w:shd w:fill="DCE6F1" w:val="clear"/>
          </w:tcPr>
          <w:p>
            <w:r>
              <w:rPr>
                <w:b w:val="false"/>
                <w:bCs w:val="false"/>
              </w:rPr>
              <w:t xml:space="preserve">Churned customers</w:t>
            </w:r>
          </w:p>
        </w:tc>
        <w:tc>
          <w:tcPr>
            <w:tcW w:type="dxa" w:w="2000"/>
            <w:shd w:fill="DCE6F1" w:val="clear"/>
          </w:tcPr>
          <w:p>
            <w:r>
              <w:rPr>
                <w:b w:val="false"/>
                <w:bCs w:val="false"/>
              </w:rPr>
              <w:t xml:space="preserve">18.0</w:t>
            </w:r>
          </w:p>
        </w:tc>
        <w:tc>
          <w:tcPr>
            <w:tcW w:type="dxa" w:w="2000"/>
            <w:shd w:fill="DCE6F1" w:val="clear"/>
          </w:tcPr>
          <w:p>
            <w:r>
              <w:rPr>
                <w:b w:val="false"/>
                <w:bCs w:val="false"/>
              </w:rPr>
              <w:t xml:space="preserve">Retained customers</w:t>
            </w:r>
          </w:p>
        </w:tc>
        <w:tc>
          <w:tcPr>
            <w:tcW w:type="dxa" w:w="2000"/>
            <w:shd w:fill="DCE6F1" w:val="clear"/>
          </w:tcPr>
          <w:p>
            <w:r>
              <w:rPr>
                <w:b w:val="false"/>
                <w:bCs w:val="false"/>
              </w:rPr>
              <w:t xml:space="preserve">37.6</w:t>
            </w:r>
          </w:p>
        </w:tc>
      </w:tr>
      <w:tr>
        <w:tc>
          <w:tcPr>
            <w:tcW w:type="dxa" w:w="2000"/>
            <w:shd w:fill="FFFFFF" w:val="clear"/>
          </w:tcPr>
          <w:p>
            <w:r>
              <w:rPr>
                <w:b/>
                <w:bCs/>
              </w:rPr>
              <w:t xml:space="preserve">Monthly Charges (avg.)</w:t>
            </w:r>
          </w:p>
        </w:tc>
        <w:tc>
          <w:tcPr>
            <w:tcW w:type="dxa" w:w="2000"/>
            <w:shd w:fill="FFFFFF" w:val="clear"/>
          </w:tcPr>
          <w:p>
            <w:r>
              <w:rPr>
                <w:b w:val="false"/>
                <w:bCs w:val="false"/>
              </w:rPr>
              <w:t xml:space="preserve">Churned customers</w:t>
            </w:r>
          </w:p>
        </w:tc>
        <w:tc>
          <w:tcPr>
            <w:tcW w:type="dxa" w:w="2000"/>
            <w:shd w:fill="FFFFFF" w:val="clear"/>
          </w:tcPr>
          <w:p>
            <w:r>
              <w:rPr>
                <w:b w:val="false"/>
                <w:bCs w:val="false"/>
              </w:rPr>
              <w:t xml:space="preserve">$74.40</w:t>
            </w:r>
          </w:p>
        </w:tc>
        <w:tc>
          <w:tcPr>
            <w:tcW w:type="dxa" w:w="2000"/>
            <w:shd w:fill="FFFFFF" w:val="clear"/>
          </w:tcPr>
          <w:p>
            <w:r>
              <w:rPr>
                <w:b w:val="false"/>
                <w:bCs w:val="false"/>
              </w:rPr>
              <w:t xml:space="preserve">Retained customers</w:t>
            </w:r>
          </w:p>
        </w:tc>
        <w:tc>
          <w:tcPr>
            <w:tcW w:type="dxa" w:w="2000"/>
            <w:shd w:fill="FFFFFF" w:val="clear"/>
          </w:tcPr>
          <w:p>
            <w:r>
              <w:rPr>
                <w:b w:val="false"/>
                <w:bCs w:val="false"/>
              </w:rPr>
              <w:t xml:space="preserve">$61.30</w:t>
            </w:r>
          </w:p>
        </w:tc>
      </w:tr>
    </w:tbl>
    <w:p>
      <w:pPr>
        <w:spacing w:after="200"/>
      </w:pPr>
    </w:p>
    <w:p>
      <w:pPr>
        <w:spacing w:after="160"/>
      </w:pPr>
      <w:r>
        <w:t xml:space="preserve">Contract type produced the widest spread of any factor: month-to-month customers churn at roughly 15 times the rate of two-year contract holders. Payment method was the second-strongest factor, with electronic check users churning at nearly three times the rate of automatic bank transfer or credit card users. Fiber optic internet subscribers — the company's premium service tier — churned at a notably higher rate than DSL or no-internet customers, a counterintuitive result worth further investigation. Tenure and monthly charges showed smaller but still meaningful gaps, with churned customers averaging under 18 months of tenure and paying about $13 more per month than retained customers.</w:t>
      </w:r>
    </w:p>
    <w:p>
      <w:pPr>
        <w:pStyle w:val="Heading1"/>
        <w:spacing w:after="150" w:before="300"/>
      </w:pPr>
      <w:r>
        <w:t xml:space="preserve">5. Business Insights</w:t>
      </w:r>
    </w:p>
    <w:p>
      <w:pPr>
        <w:pStyle w:val="ListParagraph"/>
        <w:numPr>
          <w:ilvl w:val="0"/>
          <w:numId w:val="3"/>
        </w:numPr>
        <w:spacing w:after="120"/>
      </w:pPr>
      <w:r>
        <w:t xml:space="preserve">Contract type is the single biggest lever available to the business. The absence of a long-term commitment is the strongest signal of churn risk in the entire dataset.</w:t>
      </w:r>
    </w:p>
    <w:p>
      <w:pPr>
        <w:pStyle w:val="ListParagraph"/>
        <w:numPr>
          <w:ilvl w:val="0"/>
          <w:numId w:val="3"/>
        </w:numPr>
        <w:spacing w:after="120"/>
      </w:pPr>
      <w:r>
        <w:t xml:space="preserve">Payment friction drives churn. Customers on manual payment methods, especially electronic check, leave far more often — suggesting the monthly payment moment itself may be an opportunity for customers to reconsider and cancel.</w:t>
      </w:r>
    </w:p>
    <w:p>
      <w:pPr>
        <w:pStyle w:val="ListParagraph"/>
        <w:numPr>
          <w:ilvl w:val="0"/>
          <w:numId w:val="3"/>
        </w:numPr>
        <w:spacing w:after="120"/>
      </w:pPr>
      <w:r>
        <w:t xml:space="preserve">Premium (fiber) customers are, unexpectedly, the most likely to leave. This points to a possible pricing, reliability, or competitive-offer issue specific to that service tier, rather than a satisfaction problem across the board.</w:t>
      </w:r>
    </w:p>
    <w:p>
      <w:pPr>
        <w:pStyle w:val="ListParagraph"/>
        <w:numPr>
          <w:ilvl w:val="0"/>
          <w:numId w:val="3"/>
        </w:numPr>
        <w:spacing w:after="120"/>
      </w:pPr>
      <w:r>
        <w:t xml:space="preserve">Churn risk is concentrated early in the customer relationship. Retention efforts are likely to have the greatest impact within the first 18 months, rather than later in the customer lifecycle.</w:t>
      </w:r>
    </w:p>
    <w:p>
      <w:pPr>
        <w:pStyle w:val="ListParagraph"/>
        <w:numPr>
          <w:ilvl w:val="0"/>
          <w:numId w:val="3"/>
        </w:numPr>
        <w:spacing w:after="120"/>
      </w:pPr>
      <w:r>
        <w:t xml:space="preserve">Price sensitivity plays a real but secondary role. The gap in average monthly charges between churned and retained customers is smaller than the gaps seen for contract type or payment method, suggesting cost alone is not the primary driver of churn.</w:t>
      </w:r>
    </w:p>
    <w:p>
      <w:pPr>
        <w:pStyle w:val="Heading1"/>
        <w:spacing w:after="150" w:before="300"/>
      </w:pPr>
      <w:r>
        <w:t xml:space="preserve">6. Recommendations</w:t>
      </w:r>
    </w:p>
    <w:p>
      <w:pPr>
        <w:pStyle w:val="ListParagraph"/>
        <w:numPr>
          <w:ilvl w:val="0"/>
          <w:numId w:val="3"/>
        </w:numPr>
        <w:spacing w:after="120"/>
      </w:pPr>
      <w:r>
        <w:t xml:space="preserve">Incentivize longer contracts — offer a discount, credit, or added perk for month-to-month customers who switch to a one- or two-year plan, directly targeting the strongest churn driver identified.</w:t>
      </w:r>
    </w:p>
    <w:p>
      <w:pPr>
        <w:pStyle w:val="ListParagraph"/>
        <w:numPr>
          <w:ilvl w:val="0"/>
          <w:numId w:val="3"/>
        </w:numPr>
        <w:spacing w:after="120"/>
      </w:pPr>
      <w:r>
        <w:t xml:space="preserve">Encourage automatic payment methods — provide a modest incentive (e.g., a small monthly discount) for switching from electronic check to autopay, reducing the recurring decision point where cancellation becomes easy.</w:t>
      </w:r>
    </w:p>
    <w:p>
      <w:pPr>
        <w:pStyle w:val="ListParagraph"/>
        <w:numPr>
          <w:ilvl w:val="0"/>
          <w:numId w:val="3"/>
        </w:numPr>
        <w:spacing w:after="120"/>
      </w:pPr>
      <w:r>
        <w:t xml:space="preserve">Investigate the fiber optic customer experience — commission a targeted satisfaction survey or pricing review for fiber subscribers to determine whether the driver is price, reliability, or competitive pressure.</w:t>
      </w:r>
    </w:p>
    <w:p>
      <w:pPr>
        <w:pStyle w:val="ListParagraph"/>
        <w:numPr>
          <w:ilvl w:val="0"/>
          <w:numId w:val="3"/>
        </w:numPr>
        <w:spacing w:after="120"/>
      </w:pPr>
      <w:r>
        <w:t xml:space="preserve">Build a first-18-months retention program — introduce proactive onboarding, check-ins, or loyalty milestones during the early tenure window where churn risk is highest.</w:t>
      </w:r>
    </w:p>
    <w:p>
      <w:pPr>
        <w:pStyle w:val="ListParagraph"/>
        <w:numPr>
          <w:ilvl w:val="0"/>
          <w:numId w:val="3"/>
        </w:numPr>
        <w:spacing w:after="120"/>
      </w:pPr>
      <w:r>
        <w:t xml:space="preserve">Pair pricing conversations with contract or payment changes rather than offering blanket discounts — since price alone is a weaker driver, offers are likely to be more effective when tied to a contract-length or payment-method switch.</w:t>
      </w:r>
    </w:p>
    <w:p>
      <w:pPr>
        <w:pStyle w:val="Heading1"/>
        <w:spacing w:after="150" w:before="300"/>
      </w:pPr>
      <w:r>
        <w:t xml:space="preserve">7. Conclusion</w:t>
      </w:r>
    </w:p>
    <w:p>
      <w:pPr>
        <w:spacing w:after="160"/>
      </w:pPr>
      <w:r>
        <w:t xml:space="preserve">Customers in this dataset leave primarily because they can — lacking a long-term contract — and because the payment experience creates recurring friction, rather than primarily due to cost. Addressing contract flexibility and payment convenience, alongside a focused investigation into the fiber optic customer experience, represent the most promising levers for reducing churn. These recommendations are grounded directly in the patterns observed in the data and are intended as a starting point for deeper operational and financial evaluation by the business.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AnalystLab Africa — Data Analytics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2026-08-02T17:57:05.563Z</dcterms:created>
  <dcterms:modified xsi:type="dcterms:W3CDTF">2026-08-02T17:57:05.577Z</dcterms:modified>
</cp:coreProperties>
</file>

<file path=docProps/custom.xml><?xml version="1.0" encoding="utf-8"?>
<Properties xmlns="http://schemas.openxmlformats.org/officeDocument/2006/custom-properties" xmlns:vt="http://schemas.openxmlformats.org/officeDocument/2006/docPropsVTypes"/>
</file>