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41855" w14:textId="77777777" w:rsidR="007D1C60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Insight Summary Report</w:t>
      </w:r>
    </w:p>
    <w:p w14:paraId="66B669FD" w14:textId="77777777" w:rsidR="007D1C60" w:rsidRDefault="00000000">
      <w:pPr>
        <w:spacing w:after="40"/>
        <w:jc w:val="center"/>
      </w:pPr>
      <w:r>
        <w:rPr>
          <w:color w:val="444444"/>
          <w:sz w:val="24"/>
          <w:szCs w:val="24"/>
        </w:rPr>
        <w:t>Advanced Python Analysis — Apple Inc. (AAPL) Stock Data</w:t>
      </w:r>
    </w:p>
    <w:p w14:paraId="7F0D0B70" w14:textId="77777777" w:rsidR="007D1C60" w:rsidRDefault="00000000">
      <w:pPr>
        <w:spacing w:after="300"/>
        <w:jc w:val="center"/>
      </w:pPr>
      <w:r>
        <w:rPr>
          <w:i/>
          <w:iCs/>
          <w:color w:val="808080"/>
        </w:rPr>
        <w:t xml:space="preserve">Week 6 · </w:t>
      </w:r>
      <w:proofErr w:type="spellStart"/>
      <w:r>
        <w:rPr>
          <w:i/>
          <w:iCs/>
          <w:color w:val="808080"/>
        </w:rPr>
        <w:t>AnalystLab</w:t>
      </w:r>
      <w:proofErr w:type="spellEnd"/>
      <w:r>
        <w:rPr>
          <w:i/>
          <w:iCs/>
          <w:color w:val="808080"/>
        </w:rPr>
        <w:t xml:space="preserve"> Africa Data Analytics Internship</w:t>
      </w:r>
    </w:p>
    <w:p w14:paraId="327CC38C" w14:textId="77777777" w:rsidR="007D1C60" w:rsidRDefault="00000000">
      <w:pPr>
        <w:pStyle w:val="Heading1"/>
        <w:spacing w:before="240" w:after="120"/>
      </w:pPr>
      <w:r>
        <w:t>1. Introduction</w:t>
      </w:r>
    </w:p>
    <w:p w14:paraId="77668F13" w14:textId="77777777" w:rsidR="007D1C60" w:rsidRDefault="00000000">
      <w:pPr>
        <w:spacing w:after="140"/>
      </w:pPr>
      <w:r>
        <w:t xml:space="preserve">This report summarizes an advanced Python analysis of Apple Inc. (AAPL) historical stock data, covering 5 years of daily trading records pulled directly from Yahoo Finance using the </w:t>
      </w:r>
      <w:proofErr w:type="spellStart"/>
      <w:r>
        <w:t>yfinance</w:t>
      </w:r>
      <w:proofErr w:type="spellEnd"/>
      <w:r>
        <w:t xml:space="preserve"> library. The objective was to apply data transformation, time-series analysis, and feature engineering techniques to uncover meaningful trends and patterns in the stock's performance.</w:t>
      </w:r>
    </w:p>
    <w:p w14:paraId="348BB51A" w14:textId="77777777" w:rsidR="007D1C60" w:rsidRDefault="00000000">
      <w:pPr>
        <w:pStyle w:val="Heading1"/>
        <w:spacing w:before="240" w:after="120"/>
      </w:pPr>
      <w:r>
        <w:t>2. Techniques Applied</w:t>
      </w:r>
    </w:p>
    <w:p w14:paraId="6EAF812E" w14:textId="77777777" w:rsidR="007D1C60" w:rsidRDefault="00000000">
      <w:pPr>
        <w:pStyle w:val="ListParagraph"/>
        <w:numPr>
          <w:ilvl w:val="0"/>
          <w:numId w:val="2"/>
        </w:numPr>
        <w:spacing w:after="80"/>
      </w:pPr>
      <w:r>
        <w:t>Data Transformation: cleaned raw data, flattened multi-level columns, verified data types, and restructured the dataset for analysis using pandas.</w:t>
      </w:r>
    </w:p>
    <w:p w14:paraId="5DFBC0A3" w14:textId="77777777" w:rsidR="007D1C60" w:rsidRDefault="00000000">
      <w:pPr>
        <w:pStyle w:val="ListParagraph"/>
        <w:numPr>
          <w:ilvl w:val="0"/>
          <w:numId w:val="2"/>
        </w:numPr>
        <w:spacing w:after="80"/>
      </w:pPr>
      <w:r>
        <w:t>Time-Series Analysis: performed date-based grouping (yearly and monthly), trend analysis, and rolling-window calculations.</w:t>
      </w:r>
    </w:p>
    <w:p w14:paraId="1E1A2208" w14:textId="77777777" w:rsidR="007D1C60" w:rsidRDefault="00000000">
      <w:pPr>
        <w:pStyle w:val="ListParagraph"/>
        <w:numPr>
          <w:ilvl w:val="0"/>
          <w:numId w:val="2"/>
        </w:numPr>
        <w:spacing w:after="80"/>
      </w:pPr>
      <w:r>
        <w:t>Feature Engineering: created daily price change, daily percentage change, intraday range, 7-day and 30-day moving averages, 30-day rolling volatility, and monthly returns.</w:t>
      </w:r>
    </w:p>
    <w:p w14:paraId="6B984733" w14:textId="77777777" w:rsidR="007D1C60" w:rsidRDefault="00000000">
      <w:pPr>
        <w:pStyle w:val="Heading1"/>
        <w:spacing w:before="240" w:after="120"/>
      </w:pPr>
      <w:r>
        <w:t>3. Key Trends &amp; Statistics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7D1C60" w14:paraId="375C6F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</w:tcPr>
          <w:p w14:paraId="4BF05581" w14:textId="77777777" w:rsidR="007D1C60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5000" w:type="dxa"/>
            <w:shd w:val="clear" w:color="auto" w:fill="1F4E79"/>
          </w:tcPr>
          <w:p w14:paraId="5E0D17F1" w14:textId="77777777" w:rsidR="007D1C60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7D1C60" w14:paraId="33EC176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</w:tcPr>
          <w:p w14:paraId="703B452C" w14:textId="77777777" w:rsidR="007D1C60" w:rsidRDefault="00000000">
            <w:r>
              <w:rPr>
                <w:b/>
                <w:bCs/>
              </w:rPr>
              <w:t>5-Year Price Change</w:t>
            </w:r>
          </w:p>
        </w:tc>
        <w:tc>
          <w:tcPr>
            <w:tcW w:w="5000" w:type="dxa"/>
            <w:shd w:val="clear" w:color="auto" w:fill="FFFFFF"/>
          </w:tcPr>
          <w:p w14:paraId="2CD9A06C" w14:textId="77777777" w:rsidR="007D1C60" w:rsidRDefault="00000000">
            <w:r>
              <w:t>+111.03% ($145.22 → $306.47)</w:t>
            </w:r>
          </w:p>
        </w:tc>
      </w:tr>
      <w:tr w:rsidR="007D1C60" w14:paraId="0E2FF12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DCE6F1"/>
          </w:tcPr>
          <w:p w14:paraId="034A2E19" w14:textId="77777777" w:rsidR="007D1C60" w:rsidRDefault="00000000">
            <w:r>
              <w:rPr>
                <w:b/>
                <w:bCs/>
              </w:rPr>
              <w:t>Best Year</w:t>
            </w:r>
          </w:p>
        </w:tc>
        <w:tc>
          <w:tcPr>
            <w:tcW w:w="5000" w:type="dxa"/>
            <w:shd w:val="clear" w:color="auto" w:fill="DCE6F1"/>
          </w:tcPr>
          <w:p w14:paraId="4FD73598" w14:textId="77777777" w:rsidR="007D1C60" w:rsidRDefault="00000000">
            <w:r>
              <w:t>2023 (+54.80%)</w:t>
            </w:r>
          </w:p>
        </w:tc>
      </w:tr>
      <w:tr w:rsidR="007D1C60" w14:paraId="6171531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</w:tcPr>
          <w:p w14:paraId="60420821" w14:textId="77777777" w:rsidR="007D1C60" w:rsidRDefault="00000000">
            <w:r>
              <w:rPr>
                <w:b/>
                <w:bCs/>
              </w:rPr>
              <w:t>Worst Year</w:t>
            </w:r>
          </w:p>
        </w:tc>
        <w:tc>
          <w:tcPr>
            <w:tcW w:w="5000" w:type="dxa"/>
            <w:shd w:val="clear" w:color="auto" w:fill="FFFFFF"/>
          </w:tcPr>
          <w:p w14:paraId="603EB9F8" w14:textId="77777777" w:rsidR="007D1C60" w:rsidRDefault="00000000">
            <w:r>
              <w:t>2022 (-28.20%)</w:t>
            </w:r>
          </w:p>
        </w:tc>
      </w:tr>
      <w:tr w:rsidR="007D1C60" w14:paraId="51E4670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DCE6F1"/>
          </w:tcPr>
          <w:p w14:paraId="538D2D5C" w14:textId="77777777" w:rsidR="007D1C60" w:rsidRDefault="00000000">
            <w:r>
              <w:rPr>
                <w:b/>
                <w:bCs/>
              </w:rPr>
              <w:t>Up Days vs. Down Days</w:t>
            </w:r>
          </w:p>
        </w:tc>
        <w:tc>
          <w:tcPr>
            <w:tcW w:w="5000" w:type="dxa"/>
            <w:shd w:val="clear" w:color="auto" w:fill="DCE6F1"/>
          </w:tcPr>
          <w:p w14:paraId="6A120F5E" w14:textId="77777777" w:rsidR="007D1C60" w:rsidRDefault="00000000">
            <w:r>
              <w:t>666 (53.3%) vs. 584 (46.7%)</w:t>
            </w:r>
          </w:p>
        </w:tc>
      </w:tr>
      <w:tr w:rsidR="007D1C60" w14:paraId="0198BD7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</w:tcPr>
          <w:p w14:paraId="42518E99" w14:textId="77777777" w:rsidR="007D1C60" w:rsidRDefault="00000000">
            <w:r>
              <w:rPr>
                <w:b/>
                <w:bCs/>
              </w:rPr>
              <w:t>Average Daily Swing</w:t>
            </w:r>
          </w:p>
        </w:tc>
        <w:tc>
          <w:tcPr>
            <w:tcW w:w="5000" w:type="dxa"/>
            <w:shd w:val="clear" w:color="auto" w:fill="FFFFFF"/>
          </w:tcPr>
          <w:p w14:paraId="4DD8649D" w14:textId="77777777" w:rsidR="007D1C60" w:rsidRDefault="00000000">
            <w:r>
              <w:t>±1.77%</w:t>
            </w:r>
          </w:p>
        </w:tc>
      </w:tr>
      <w:tr w:rsidR="007D1C60" w14:paraId="3B5FD6C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DCE6F1"/>
          </w:tcPr>
          <w:p w14:paraId="5BAA582C" w14:textId="77777777" w:rsidR="007D1C60" w:rsidRDefault="00000000">
            <w:r>
              <w:rPr>
                <w:b/>
                <w:bCs/>
              </w:rPr>
              <w:t>Average 30-Day Volatility</w:t>
            </w:r>
          </w:p>
        </w:tc>
        <w:tc>
          <w:tcPr>
            <w:tcW w:w="5000" w:type="dxa"/>
            <w:shd w:val="clear" w:color="auto" w:fill="DCE6F1"/>
          </w:tcPr>
          <w:p w14:paraId="3105822D" w14:textId="77777777" w:rsidR="007D1C60" w:rsidRDefault="00000000">
            <w:r>
              <w:t>1.66% (currently elevated at 2.22%)</w:t>
            </w:r>
          </w:p>
        </w:tc>
      </w:tr>
      <w:tr w:rsidR="007D1C60" w14:paraId="2200F2E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</w:tcPr>
          <w:p w14:paraId="66BEA538" w14:textId="77777777" w:rsidR="007D1C60" w:rsidRDefault="00000000">
            <w:r>
              <w:rPr>
                <w:b/>
                <w:bCs/>
              </w:rPr>
              <w:t>Average Daily Trading Volume</w:t>
            </w:r>
          </w:p>
        </w:tc>
        <w:tc>
          <w:tcPr>
            <w:tcW w:w="5000" w:type="dxa"/>
            <w:shd w:val="clear" w:color="auto" w:fill="FFFFFF"/>
          </w:tcPr>
          <w:p w14:paraId="3AD53FE4" w14:textId="77777777" w:rsidR="007D1C60" w:rsidRDefault="00000000">
            <w:r>
              <w:t>64,641,634 shares</w:t>
            </w:r>
          </w:p>
        </w:tc>
      </w:tr>
      <w:tr w:rsidR="007D1C60" w14:paraId="19D7585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DCE6F1"/>
          </w:tcPr>
          <w:p w14:paraId="19738966" w14:textId="77777777" w:rsidR="007D1C60" w:rsidRDefault="00000000">
            <w:r>
              <w:rPr>
                <w:b/>
                <w:bCs/>
              </w:rPr>
              <w:t>Current Price vs. 30-Day MA</w:t>
            </w:r>
          </w:p>
        </w:tc>
        <w:tc>
          <w:tcPr>
            <w:tcW w:w="5000" w:type="dxa"/>
            <w:shd w:val="clear" w:color="auto" w:fill="DCE6F1"/>
          </w:tcPr>
          <w:p w14:paraId="006ABCBD" w14:textId="77777777" w:rsidR="007D1C60" w:rsidRDefault="00000000">
            <w:r>
              <w:t>Below trend ($306.47 vs. $317.88)</w:t>
            </w:r>
          </w:p>
        </w:tc>
      </w:tr>
    </w:tbl>
    <w:p w14:paraId="75656FA7" w14:textId="77777777" w:rsidR="007D1C60" w:rsidRDefault="007D1C60">
      <w:pPr>
        <w:spacing w:after="160"/>
      </w:pPr>
    </w:p>
    <w:p w14:paraId="4F7941C8" w14:textId="77777777" w:rsidR="007D1C60" w:rsidRDefault="00000000">
      <w:pPr>
        <w:pStyle w:val="Heading1"/>
        <w:spacing w:before="240" w:after="120"/>
      </w:pPr>
      <w:r>
        <w:t>4. Insights</w:t>
      </w:r>
    </w:p>
    <w:p w14:paraId="79DD6B4C" w14:textId="77777777" w:rsidR="007D1C60" w:rsidRDefault="00000000">
      <w:pPr>
        <w:pStyle w:val="ListParagraph"/>
        <w:numPr>
          <w:ilvl w:val="0"/>
          <w:numId w:val="2"/>
        </w:numPr>
        <w:spacing w:after="80"/>
      </w:pPr>
      <w:r>
        <w:t>Apple stock more than doubled over the 5-year period, reflecting strong long-term growth despite significant year-to-year volatility.</w:t>
      </w:r>
    </w:p>
    <w:p w14:paraId="3E6A340D" w14:textId="77777777" w:rsidR="007D1C60" w:rsidRDefault="00000000">
      <w:pPr>
        <w:pStyle w:val="ListParagraph"/>
        <w:numPr>
          <w:ilvl w:val="0"/>
          <w:numId w:val="2"/>
        </w:numPr>
        <w:spacing w:after="80"/>
      </w:pPr>
      <w:r>
        <w:t>2022 stood out as a notably weak year (-28.20%), aligning with the broader tech sector downturn driven by rising interest rates that year, while 2023 saw a strong recovery (+54.80%).</w:t>
      </w:r>
    </w:p>
    <w:p w14:paraId="0B5BB0DD" w14:textId="77777777" w:rsidR="007D1C60" w:rsidRDefault="00000000">
      <w:pPr>
        <w:pStyle w:val="ListParagraph"/>
        <w:numPr>
          <w:ilvl w:val="0"/>
          <w:numId w:val="2"/>
        </w:numPr>
        <w:spacing w:after="80"/>
      </w:pPr>
      <w:r>
        <w:t>Daily price movements are slightly skewed positive (53.3% up days vs. 46.7% down days), consistent with the overall long-term uptrend.</w:t>
      </w:r>
    </w:p>
    <w:p w14:paraId="579CD577" w14:textId="77777777" w:rsidR="007D1C60" w:rsidRDefault="00000000">
      <w:pPr>
        <w:pStyle w:val="ListParagraph"/>
        <w:numPr>
          <w:ilvl w:val="0"/>
          <w:numId w:val="2"/>
        </w:numPr>
        <w:spacing w:after="80"/>
      </w:pPr>
      <w:r>
        <w:t>30-day rolling volatility is currently elevated (2.22%) compared to its historical average (1.66%), driven by a sharp single-day drop of -7.35% in late July 2026.</w:t>
      </w:r>
    </w:p>
    <w:p w14:paraId="36B62580" w14:textId="77777777" w:rsidR="007D1C60" w:rsidRDefault="00000000">
      <w:pPr>
        <w:pStyle w:val="ListParagraph"/>
        <w:numPr>
          <w:ilvl w:val="0"/>
          <w:numId w:val="2"/>
        </w:numPr>
        <w:spacing w:after="80"/>
      </w:pPr>
      <w:r>
        <w:t>The stock is currently trading below its 30-day moving average, a short-term signal that price momentum has cooled even though the multi-year trend remains strongly positive.</w:t>
      </w:r>
    </w:p>
    <w:p w14:paraId="04C96F3A" w14:textId="1DD2F8D5" w:rsidR="007D1C60" w:rsidRDefault="00000000">
      <w:pPr>
        <w:pStyle w:val="ListParagraph"/>
        <w:numPr>
          <w:ilvl w:val="0"/>
          <w:numId w:val="2"/>
        </w:numPr>
        <w:spacing w:after="80"/>
      </w:pPr>
      <w:r>
        <w:t xml:space="preserve">Trading volume shows no clear long-term upward or downward </w:t>
      </w:r>
      <w:r w:rsidR="0090734B">
        <w:t>trend but</w:t>
      </w:r>
      <w:r>
        <w:t xml:space="preserve"> displays periodic spikes (up to ~319 million shares) that align with likely earnings announcements or major news events.</w:t>
      </w:r>
    </w:p>
    <w:p w14:paraId="3EBCC1BD" w14:textId="77777777" w:rsidR="007D1C60" w:rsidRDefault="00000000">
      <w:pPr>
        <w:pStyle w:val="Heading1"/>
        <w:spacing w:before="240" w:after="120"/>
      </w:pPr>
      <w:r>
        <w:t>5. Recommendations</w:t>
      </w:r>
    </w:p>
    <w:p w14:paraId="6A6135F1" w14:textId="77777777" w:rsidR="007D1C60" w:rsidRDefault="00000000">
      <w:pPr>
        <w:pStyle w:val="ListParagraph"/>
        <w:numPr>
          <w:ilvl w:val="0"/>
          <w:numId w:val="2"/>
        </w:numPr>
        <w:spacing w:after="80"/>
      </w:pPr>
      <w:r>
        <w:t>Use the 30-day moving average as a simple trend filter: price crossing below it (as seen currently) can flag short-term caution, while sustained price above it supports a bullish view.</w:t>
      </w:r>
    </w:p>
    <w:p w14:paraId="2E5F46ED" w14:textId="77777777" w:rsidR="007D1C60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Monitor 30-day rolling volatility as an early-warning signal — sustained elevation above its historical average often follows major price shocks and may precede continued turbulence.</w:t>
      </w:r>
    </w:p>
    <w:p w14:paraId="1830CCEA" w14:textId="4DC77EE7" w:rsidR="007D1C60" w:rsidRDefault="00000000">
      <w:pPr>
        <w:pStyle w:val="ListParagraph"/>
        <w:numPr>
          <w:ilvl w:val="0"/>
          <w:numId w:val="2"/>
        </w:numPr>
        <w:spacing w:after="80"/>
      </w:pPr>
      <w:r>
        <w:t xml:space="preserve">Treat single-day volume spikes as markers worth investigating further (e.g., cross-referencing against earnings calendars or news events) rather than </w:t>
      </w:r>
      <w:r w:rsidR="0090734B">
        <w:t>analysing</w:t>
      </w:r>
      <w:r>
        <w:t xml:space="preserve"> price data in isolation.</w:t>
      </w:r>
    </w:p>
    <w:p w14:paraId="2331E62E" w14:textId="77777777" w:rsidR="007D1C60" w:rsidRDefault="00000000">
      <w:pPr>
        <w:pStyle w:val="ListParagraph"/>
        <w:numPr>
          <w:ilvl w:val="0"/>
          <w:numId w:val="2"/>
        </w:numPr>
        <w:spacing w:after="80"/>
      </w:pPr>
      <w:r>
        <w:t>Combine this technical analysis with fundamental research (earnings, product cycles, sector trends) before drawing investment conclusions, since historical price patterns alone do not predict future performance.</w:t>
      </w:r>
    </w:p>
    <w:p w14:paraId="4C583CE4" w14:textId="77777777" w:rsidR="007D1C60" w:rsidRDefault="00000000">
      <w:pPr>
        <w:pStyle w:val="Heading1"/>
        <w:spacing w:before="240" w:after="120"/>
      </w:pPr>
      <w:r>
        <w:t>6. Conclusion</w:t>
      </w:r>
    </w:p>
    <w:p w14:paraId="7024C9EC" w14:textId="77777777" w:rsidR="007D1C60" w:rsidRDefault="00000000">
      <w:pPr>
        <w:spacing w:after="140"/>
      </w:pPr>
      <w:r>
        <w:t xml:space="preserve">This analysis demonstrates how advanced </w:t>
      </w:r>
      <w:proofErr w:type="gramStart"/>
      <w:r>
        <w:t>pandas</w:t>
      </w:r>
      <w:proofErr w:type="gramEnd"/>
      <w:r>
        <w:t xml:space="preserve"> operations, time-series techniques, and engineered features can transform raw daily stock data into clear, actionable insight. Apple's 5-year trajectory reflects a strong long-term uptrend interrupted by a significant 2022 correction, with recent data suggesting a short-term cooling period within an otherwise positive overall trend.</w:t>
      </w:r>
    </w:p>
    <w:sectPr w:rsidR="007D1C6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DD720" w14:textId="77777777" w:rsidR="000913B2" w:rsidRDefault="000913B2">
      <w:r>
        <w:separator/>
      </w:r>
    </w:p>
  </w:endnote>
  <w:endnote w:type="continuationSeparator" w:id="0">
    <w:p w14:paraId="44DE1C2F" w14:textId="77777777" w:rsidR="000913B2" w:rsidRDefault="00091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CB4B8" w14:textId="77777777" w:rsidR="007D1C60" w:rsidRDefault="00000000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90734B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1A15E" w14:textId="77777777" w:rsidR="000913B2" w:rsidRDefault="000913B2">
      <w:r>
        <w:separator/>
      </w:r>
    </w:p>
  </w:footnote>
  <w:footnote w:type="continuationSeparator" w:id="0">
    <w:p w14:paraId="4CF6148D" w14:textId="77777777" w:rsidR="000913B2" w:rsidRDefault="00091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6BB35" w14:textId="77777777" w:rsidR="007D1C60" w:rsidRDefault="00000000">
    <w:pPr>
      <w:jc w:val="right"/>
    </w:pPr>
    <w:proofErr w:type="spellStart"/>
    <w:r>
      <w:rPr>
        <w:color w:val="808080"/>
        <w:sz w:val="16"/>
        <w:szCs w:val="16"/>
      </w:rPr>
      <w:t>AnalystLab</w:t>
    </w:r>
    <w:proofErr w:type="spellEnd"/>
    <w:r>
      <w:rPr>
        <w:color w:val="808080"/>
        <w:sz w:val="16"/>
        <w:szCs w:val="16"/>
      </w:rPr>
      <w:t xml:space="preserve"> Africa — Data Analytics Internship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93F22"/>
    <w:multiLevelType w:val="hybridMultilevel"/>
    <w:tmpl w:val="E42E42EA"/>
    <w:lvl w:ilvl="0" w:tplc="86EC6E28">
      <w:start w:val="1"/>
      <w:numFmt w:val="bullet"/>
      <w:lvlText w:val="●"/>
      <w:lvlJc w:val="left"/>
      <w:pPr>
        <w:ind w:left="720" w:hanging="360"/>
      </w:pPr>
    </w:lvl>
    <w:lvl w:ilvl="1" w:tplc="80AE015E">
      <w:start w:val="1"/>
      <w:numFmt w:val="bullet"/>
      <w:lvlText w:val="○"/>
      <w:lvlJc w:val="left"/>
      <w:pPr>
        <w:ind w:left="1440" w:hanging="360"/>
      </w:pPr>
    </w:lvl>
    <w:lvl w:ilvl="2" w:tplc="F52649E0">
      <w:start w:val="1"/>
      <w:numFmt w:val="bullet"/>
      <w:lvlText w:val="■"/>
      <w:lvlJc w:val="left"/>
      <w:pPr>
        <w:ind w:left="2160" w:hanging="360"/>
      </w:pPr>
    </w:lvl>
    <w:lvl w:ilvl="3" w:tplc="9084A9FE">
      <w:start w:val="1"/>
      <w:numFmt w:val="bullet"/>
      <w:lvlText w:val="●"/>
      <w:lvlJc w:val="left"/>
      <w:pPr>
        <w:ind w:left="2880" w:hanging="360"/>
      </w:pPr>
    </w:lvl>
    <w:lvl w:ilvl="4" w:tplc="ECB0B25E">
      <w:start w:val="1"/>
      <w:numFmt w:val="bullet"/>
      <w:lvlText w:val="○"/>
      <w:lvlJc w:val="left"/>
      <w:pPr>
        <w:ind w:left="3600" w:hanging="360"/>
      </w:pPr>
    </w:lvl>
    <w:lvl w:ilvl="5" w:tplc="39609748">
      <w:start w:val="1"/>
      <w:numFmt w:val="bullet"/>
      <w:lvlText w:val="■"/>
      <w:lvlJc w:val="left"/>
      <w:pPr>
        <w:ind w:left="4320" w:hanging="360"/>
      </w:pPr>
    </w:lvl>
    <w:lvl w:ilvl="6" w:tplc="11E2672C">
      <w:start w:val="1"/>
      <w:numFmt w:val="bullet"/>
      <w:lvlText w:val="●"/>
      <w:lvlJc w:val="left"/>
      <w:pPr>
        <w:ind w:left="5040" w:hanging="360"/>
      </w:pPr>
    </w:lvl>
    <w:lvl w:ilvl="7" w:tplc="7A4053E0">
      <w:start w:val="1"/>
      <w:numFmt w:val="bullet"/>
      <w:lvlText w:val="●"/>
      <w:lvlJc w:val="left"/>
      <w:pPr>
        <w:ind w:left="5760" w:hanging="360"/>
      </w:pPr>
    </w:lvl>
    <w:lvl w:ilvl="8" w:tplc="33DAA6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8D6A8A"/>
    <w:multiLevelType w:val="hybridMultilevel"/>
    <w:tmpl w:val="F272B78E"/>
    <w:lvl w:ilvl="0" w:tplc="4D9600C8">
      <w:start w:val="1"/>
      <w:numFmt w:val="bullet"/>
      <w:lvlText w:val="•"/>
      <w:lvlJc w:val="left"/>
      <w:pPr>
        <w:ind w:left="440" w:hanging="260"/>
      </w:pPr>
    </w:lvl>
    <w:lvl w:ilvl="1" w:tplc="69160C34">
      <w:numFmt w:val="decimal"/>
      <w:lvlText w:val=""/>
      <w:lvlJc w:val="left"/>
    </w:lvl>
    <w:lvl w:ilvl="2" w:tplc="7490491E">
      <w:numFmt w:val="decimal"/>
      <w:lvlText w:val=""/>
      <w:lvlJc w:val="left"/>
    </w:lvl>
    <w:lvl w:ilvl="3" w:tplc="9978293E">
      <w:numFmt w:val="decimal"/>
      <w:lvlText w:val=""/>
      <w:lvlJc w:val="left"/>
    </w:lvl>
    <w:lvl w:ilvl="4" w:tplc="8AB02736">
      <w:numFmt w:val="decimal"/>
      <w:lvlText w:val=""/>
      <w:lvlJc w:val="left"/>
    </w:lvl>
    <w:lvl w:ilvl="5" w:tplc="9E5230F6">
      <w:numFmt w:val="decimal"/>
      <w:lvlText w:val=""/>
      <w:lvlJc w:val="left"/>
    </w:lvl>
    <w:lvl w:ilvl="6" w:tplc="CD0034F2">
      <w:numFmt w:val="decimal"/>
      <w:lvlText w:val=""/>
      <w:lvlJc w:val="left"/>
    </w:lvl>
    <w:lvl w:ilvl="7" w:tplc="86FCD2F2">
      <w:numFmt w:val="decimal"/>
      <w:lvlText w:val=""/>
      <w:lvlJc w:val="left"/>
    </w:lvl>
    <w:lvl w:ilvl="8" w:tplc="2566098E">
      <w:numFmt w:val="decimal"/>
      <w:lvlText w:val=""/>
      <w:lvlJc w:val="left"/>
    </w:lvl>
  </w:abstractNum>
  <w:num w:numId="1" w16cid:durableId="1059787712">
    <w:abstractNumId w:val="0"/>
    <w:lvlOverride w:ilvl="0">
      <w:startOverride w:val="1"/>
    </w:lvlOverride>
  </w:num>
  <w:num w:numId="2" w16cid:durableId="20119053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C60"/>
    <w:rsid w:val="000913B2"/>
    <w:rsid w:val="00524D0E"/>
    <w:rsid w:val="007D1C60"/>
    <w:rsid w:val="0090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55C20"/>
  <w15:docId w15:val="{8FBEB3B5-9875-477F-AC94-9FCED46B9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Ikeoluwa Ajayi</cp:lastModifiedBy>
  <cp:revision>2</cp:revision>
  <dcterms:created xsi:type="dcterms:W3CDTF">2026-08-11T15:09:00Z</dcterms:created>
  <dcterms:modified xsi:type="dcterms:W3CDTF">2026-08-11T15:12:00Z</dcterms:modified>
</cp:coreProperties>
</file>