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4"/>
          <w:szCs w:val="44"/>
        </w:rPr>
        <w:t xml:space="preserve">Step 1.4: Settler Module</w:t>
      </w:r>
    </w:p>
    <w:p>
      <w:pPr>
        <w:spacing w:after="40"/>
        <w:jc w:val="center"/>
      </w:pPr>
      <w:r>
        <w:rPr>
          <w:rFonts w:ascii="Arial" w:cs="Arial" w:eastAsia="Arial" w:hAnsi="Arial"/>
          <w:color w:val="666666"/>
          <w:sz w:val="28"/>
          <w:szCs w:val="28"/>
        </w:rPr>
        <w:t xml:space="preserve">Implementation Plan &amp; Design Decisions</w:t>
      </w:r>
    </w:p>
    <w:p>
      <w:pPr>
        <w:pBdr>
          <w:bottom w:val="single" w:color="2E4057" w:sz="6" w:space="8"/>
        </w:pBdr>
        <w:spacing w:after="300"/>
        <w:jc w:val="center"/>
      </w:pPr>
      <w:r>
        <w:rPr>
          <w:rFonts w:ascii="Arial" w:cs="Arial" w:eastAsia="Arial" w:hAnsi="Arial"/>
          <w:color w:val="999999"/>
          <w:sz w:val="20"/>
          <w:szCs w:val="20"/>
        </w:rPr>
        <w:t xml:space="preserve">x402-1CS Gateway  |  March 31, 2026</w:t>
      </w:r>
    </w:p>
    <w:p>
      <w:pPr>
        <w:pStyle w:val="Heading1"/>
      </w:pPr>
      <w:r>
        <w:t xml:space="preserve">1. Current State of the Codebase</w:t>
      </w:r>
    </w:p>
    <w:p>
      <w:pPr>
        <w:spacing w:after="120"/>
      </w:pPr>
      <w:r>
        <w:t xml:space="preserve">Before implementing the settler, all prerequisites are in place. The table below summarizes module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config.ts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Done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Zod schema, env parsing, 10 tests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types.ts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Done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SDK re-exports, SwapState, error classes, 22 tests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store.ts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Done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 InMemory, phase validation, 49 tests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quote-engine.ts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Done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1CS quote </w:t>
            </w:r>
            <w:r>
              <w:rPr>
                <w:rFonts w:ascii="Arial" w:cs="Arial" w:eastAsia="Arial" w:hAnsi="Arial"/>
                <w:sz w:val="20"/>
                <w:szCs w:val="20"/>
              </w:rPr>
              <w:t xml:space="preserve">→</w:t>
            </w:r>
            <w:r>
              <w:rPr>
                <w:rFonts w:ascii="Arial" w:cs="Arial" w:eastAsia="Arial" w:hAnsi="Arial"/>
                <w:sz w:val="20"/>
                <w:szCs w:val="20"/>
              </w:rPr>
              <w:t xml:space="preserve"> PaymentRequirements, 26 tests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verifier.ts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Done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EIP-3009 + Permit2 sig verification, 34 tests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settler.ts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18"/>
                <w:szCs w:val="18"/>
              </w:rPr>
              <w:t xml:space="preserve">Next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Broadcast + 1CS notify + poll + settle response</w:t>
            </w:r>
          </w:p>
        </w:tc>
      </w:tr>
    </w:tbl>
    <w:p>
      <w:pPr>
        <w:spacing w:after="120"/>
      </w:pPr>
      <w:r>
        <w:rPr>
          <w:b/>
          <w:bCs/>
        </w:rPr>
        <w:t xml:space="preserve">Total: 141 tests passing, clean TypeScript build.</w:t>
      </w:r>
    </w:p>
    <w:p>
      <w:pPr>
        <w:pStyle w:val="Heading1"/>
      </w:pPr>
      <w:r>
        <w:t xml:space="preserve">2. What the Settler Does</w:t>
      </w:r>
    </w:p>
    <w:p>
      <w:pPr>
        <w:spacing w:after="120"/>
      </w:pPr>
      <w:r>
        <w:t xml:space="preserve">The settler is the most complex module in the gateway. It takes over after the verifier confirms the buyer’s signature is valid (phase = VERIFIED) and orchestrates four sequential sub-steps to complete the cross-chain swap.</w:t>
      </w:r>
    </w:p>
    <w:p>
      <w:pPr>
        <w:pStyle w:val="Heading2"/>
      </w:pPr>
      <w:r>
        <w:t xml:space="preserve">2.1 Sub-step A: Broadcast Transaction</w:t>
      </w:r>
    </w:p>
    <w:p>
      <w:pPr>
        <w:spacing w:after="120"/>
      </w:pPr>
      <w:r>
        <w:t xml:space="preserve">Execute the buyer’s signed authorization on the origin chain, sending funds to the 1CS deposit address. The settler must support both asset transfer methods:</w:t>
      </w:r>
    </w:p>
    <w:p>
      <w:pPr>
        <w:pStyle w:val="ListParagraph"/>
        <w:numPr>
          <w:ilvl w:val="0"/>
          <w:numId w:val="2"/>
        </w:numPr>
      </w:pPr>
      <w:r>
        <w:rPr>
          <w:b/>
          <w:bCs/>
        </w:rPr>
        <w:t xml:space="preserve">EIP-3009: </w:t>
      </w:r>
      <w:r>
        <w:t xml:space="preserve">Call token.transferWithAuthorization(from, to, value, validAfter, validBefore, nonce, v, r, s) using the eip3009ABI from @x402/evm. The ECDSA signature (65 bytes) is split into v/r/s components.</w:t>
      </w:r>
    </w:p>
    <w:p>
      <w:pPr>
        <w:pStyle w:val="ListParagraph"/>
        <w:numPr>
          <w:ilvl w:val="0"/>
          <w:numId w:val="2"/>
        </w:numPr>
      </w:pPr>
      <w:r>
        <w:rPr>
          <w:b/>
          <w:bCs/>
        </w:rPr>
        <w:t xml:space="preserve">Permit2: </w:t>
      </w:r>
      <w:r>
        <w:t xml:space="preserve">Call x402ExactPermit2Proxy.settle(permit, owner, witness, signature) at the canonical proxy address (0x4020...0001) using the x402ExactPermit2ProxyABI.</w:t>
      </w:r>
    </w:p>
    <w:p>
      <w:pPr>
        <w:spacing w:after="120"/>
      </w:pPr>
      <w:r>
        <w:t xml:space="preserve">Both paths use the facilitator wallet (cfg.facilitatorPrivateKey) as the transaction sender. The facilitator pays gas; the buyer’s signed auth just authorizes the token transfer.</w:t>
      </w:r>
    </w:p>
    <w:p>
      <w:pPr>
        <w:pStyle w:val="Heading2"/>
      </w:pPr>
      <w:r>
        <w:t xml:space="preserve">2.2 Sub-step B: Notify 1CS</w:t>
      </w:r>
    </w:p>
    <w:p>
      <w:pPr>
        <w:spacing w:after="120"/>
      </w:pPr>
      <w:r>
        <w:t xml:space="preserve">After the origin-chain transaction is confirmed, call OneClickService.submitDepositTx({ txHash, depositAddress }) to tell 1CS that the deposit has landed. This is fire-and-forget: it accelerates processing but the swap will succeed without it (1CS has its own chain indexer).</w:t>
      </w:r>
    </w:p>
    <w:p>
      <w:pPr>
        <w:pStyle w:val="Heading2"/>
      </w:pPr>
      <w:r>
        <w:t xml:space="preserve">2.3 Sub-step C: Poll 1CS Status</w:t>
      </w:r>
    </w:p>
    <w:p>
      <w:pPr>
        <w:spacing w:after="120"/>
      </w:pPr>
      <w:r>
        <w:t xml:space="preserve">Poll OneClickService.getExecutionStatus(depositAddress) with exponential backoff until a terminal status is reached. Terminal statuses are SUCCESS, FAILED, and REFUNDED. Non-terminal statuses (KNOWN_DEPOSIT_TX, PENDING_DEPOSIT, INCOMPLETE_DEPOSIT, PROCESSING) mean we keep polling.</w:t>
      </w:r>
    </w:p>
    <w:p>
      <w:pPr>
        <w:spacing w:after="120"/>
      </w:pPr>
      <w:r>
        <w:t xml:space="preserve">The polling budget is </w:t>
      </w:r>
      <w:r>
        <w:rPr>
          <w:b/>
          <w:bCs/>
        </w:rPr>
        <w:t xml:space="preserve">cfg.maxPollTimeMs</w:t>
      </w:r>
      <w:r>
        <w:t xml:space="preserve"> (default 5 minutes). Backoff: interval = min(base × 1.5^attempt, maxInterval). This must NOT block the Node.js event loop — it uses async/await with setTimeout-based delays.</w:t>
      </w:r>
    </w:p>
    <w:p>
      <w:pPr>
        <w:pStyle w:val="Heading2"/>
      </w:pPr>
      <w:r>
        <w:t xml:space="preserve">2.4 Sub-step D: Build Settlement Response</w:t>
      </w:r>
    </w:p>
    <w:p>
      <w:pPr>
        <w:spacing w:after="120"/>
      </w:pPr>
      <w:r>
        <w:t xml:space="preserve">Map the 1CS terminal status to an x402 SettlementResponseRecord for the PAYMENT-RESPONSE header. On SUCCESS, include the cross-chain settlement metadata (destination tx hashes, amounts, correlation ID) in the extra field.</w:t>
      </w:r>
    </w:p>
    <w:p>
      <w:pPr>
        <w:pStyle w:val="Heading1"/>
      </w:pPr>
      <w:r>
        <w:t xml:space="preserve">3.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Sub-step</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Broadcast Tx</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sz w:val="18"/>
                <w:szCs w:val="18"/>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code paths (EIP-3009 vs Permit2), gas estimation, signature splitting, nonce-already-used detection, tx revert handling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Notify 1CS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SDK call, fire-and-forget, non-fatal errors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Poll Status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backoff logic, timeout enforcement, state updates on each poll, three terminal outcomes to handle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 Build Response</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mapping from 1CS SwapDetails to SettlementResponseRecord, straightforward</w:t>
            </w:r>
          </w:p>
        </w:tc>
      </w:tr>
    </w:tbl>
    <w:p>
      <w:pPr>
        <w:spacing w:after="120"/>
      </w:pPr>
      <w:r/>
    </w:p>
    <w:p>
      <w:pPr>
        <w:spacing w:after="120"/>
      </w:pPr>
      <w:r>
        <w:t xml:space="preserve">The overall settler is the highest-complexity module because it touches three external systems simultaneously: the EVM chain (via ethers.js), the 1CS API (via the SDK), and the state store. Each sub-step can fail independently, and the settler must handle partial failures gracefully (e.g., tx broadcast succeeds but 1CS polling times out).</w:t>
      </w:r>
    </w:p>
    <w:p>
      <w:pPr>
        <w:pStyle w:val="Heading1"/>
      </w:pPr>
      <w:r>
        <w:t xml:space="preserve">4. Open Design Decisions</w:t>
      </w:r>
    </w:p>
    <w:p>
      <w:pPr>
        <w:pStyle w:val="Heading2"/>
      </w:pPr>
      <w:r>
        <w:t xml:space="preserve">D-S1: Gas Estimation Strategy</w:t>
      </w:r>
    </w:p>
    <w:p>
      <w:pPr>
        <w:spacing w:after="120"/>
      </w:pPr>
      <w:r>
        <w:t xml:space="preserve">The facilitator wallet pays gas for broadcasting the buyer’s signed authorization. Two approaches:</w:t>
      </w:r>
    </w:p>
    <w:p>
      <w:pPr>
        <w:pStyle w:val="ListParagraph"/>
        <w:numPr>
          <w:ilvl w:val="0"/>
          <w:numId w:val="2"/>
        </w:numPr>
      </w:pPr>
      <w:r>
        <w:rPr>
          <w:b/>
          <w:bCs/>
        </w:rPr>
        <w:t xml:space="preserve">Option A (recommended): </w:t>
      </w:r>
      <w:r>
        <w:t xml:space="preserve">Use ethers.estimateGas() with a 20% buffer. If the facilitator balance &lt; estimated gas, abort with InsufficientGasError before wasting gas on a doomed tx.</w:t>
      </w:r>
    </w:p>
    <w:p>
      <w:pPr>
        <w:pStyle w:val="ListParagraph"/>
        <w:numPr>
          <w:ilvl w:val="0"/>
          <w:numId w:val="2"/>
        </w:numPr>
      </w:pPr>
      <w:r>
        <w:rPr>
          <w:b/>
          <w:bCs/>
        </w:rPr>
        <w:t xml:space="preserve">Option B: </w:t>
      </w:r>
      <w:r>
        <w:t xml:space="preserve">Hard-code gas limits per path (EIP-3009: ~80k gas, Permit2 settle: ~300k gas). Simpler but fragile across different chains/tokens.</w:t>
      </w:r>
    </w:p>
    <w:p>
      <w:pPr>
        <w:spacing w:after="120"/>
      </w:pPr>
      <w:r>
        <w:rPr>
          <w:i/>
          <w:iCs/>
        </w:rPr>
        <w:t xml:space="preserve">Recommendation: </w:t>
      </w:r>
      <w:r>
        <w:t xml:space="preserve">Option A. Dynamic estimation is more robust, and we already have a GatewayConfig-based InsufficientGasError. The 20% buffer accounts for state changes between estimation and execution.</w:t>
      </w:r>
    </w:p>
    <w:p>
      <w:pPr>
        <w:pStyle w:val="Heading2"/>
      </w:pPr>
      <w:r>
        <w:t xml:space="preserve">D-S2: Transaction Confirmation Depth</w:t>
      </w:r>
    </w:p>
    <w:p>
      <w:pPr>
        <w:spacing w:after="120"/>
      </w:pPr>
      <w:r>
        <w:t xml:space="preserve">How many block confirmations to wait before considering the origin-chain tx settled:</w:t>
      </w:r>
    </w:p>
    <w:p>
      <w:pPr>
        <w:pStyle w:val="ListParagraph"/>
        <w:numPr>
          <w:ilvl w:val="0"/>
          <w:numId w:val="2"/>
        </w:numPr>
      </w:pPr>
      <w:r>
        <w:rPr>
          <w:b/>
          <w:bCs/>
        </w:rPr>
        <w:t xml:space="preserve">Option A (recommended): </w:t>
      </w:r>
      <w:r>
        <w:t xml:space="preserve">1 confirmation for L2s (Base, Arbitrum, etc.), 2 for L1 Ethereum. Configurable via a new config field (e.g., originConfirmations).</w:t>
      </w:r>
    </w:p>
    <w:p>
      <w:pPr>
        <w:pStyle w:val="ListParagraph"/>
        <w:numPr>
          <w:ilvl w:val="0"/>
          <w:numId w:val="2"/>
        </w:numPr>
      </w:pPr>
      <w:r>
        <w:rPr>
          <w:b/>
          <w:bCs/>
        </w:rPr>
        <w:t xml:space="preserve">Option B: </w:t>
      </w:r>
      <w:r>
        <w:t xml:space="preserve">Always wait for 1 confirmation. Simpler, and reorgs on modern L2s are extremely rare.</w:t>
      </w:r>
    </w:p>
    <w:p>
      <w:pPr>
        <w:spacing w:after="120"/>
      </w:pPr>
      <w:r>
        <w:rPr>
          <w:i/>
          <w:iCs/>
        </w:rPr>
        <w:t xml:space="preserve">Recommendation: </w:t>
      </w:r>
      <w:r>
        <w:t xml:space="preserve">Option B for v1. The roadmap targets L2 deployments (Base). We can add configurable confirmation depth in Phase 3 if needed.</w:t>
      </w:r>
    </w:p>
    <w:p>
      <w:pPr>
        <w:pStyle w:val="Heading2"/>
      </w:pPr>
      <w:r>
        <w:t xml:space="preserve">D-S3: Nonce-Already-Used Handling</w:t>
      </w:r>
    </w:p>
    <w:p>
      <w:pPr>
        <w:spacing w:after="120"/>
      </w:pPr>
      <w:r>
        <w:t xml:space="preserve">If the EIP-3009 authorization nonce has already been spent (duplicate submission), what should the settler do?</w:t>
      </w:r>
    </w:p>
    <w:p>
      <w:pPr>
        <w:pStyle w:val="ListParagraph"/>
        <w:numPr>
          <w:ilvl w:val="0"/>
          <w:numId w:val="2"/>
        </w:numPr>
      </w:pPr>
      <w:r>
        <w:rPr>
          <w:b/>
          <w:bCs/>
        </w:rPr>
        <w:t xml:space="preserve">Option A (recommended): </w:t>
      </w:r>
      <w:r>
        <w:t xml:space="preserve">Check authorizationState(from, nonce) before broadcasting. If already used, skip broadcast, go straight to polling 1CS status. The deposit likely already happened via a previous attempt.</w:t>
      </w:r>
    </w:p>
    <w:p>
      <w:pPr>
        <w:pStyle w:val="ListParagraph"/>
        <w:numPr>
          <w:ilvl w:val="0"/>
          <w:numId w:val="2"/>
        </w:numPr>
      </w:pPr>
      <w:r>
        <w:rPr>
          <w:b/>
          <w:bCs/>
        </w:rPr>
        <w:t xml:space="preserve">Option B: </w:t>
      </w:r>
      <w:r>
        <w:t xml:space="preserve">Attempt broadcast and catch the revert. Simpler code, but wastes gas on the failed tx.</w:t>
      </w:r>
    </w:p>
    <w:p>
      <w:pPr>
        <w:spacing w:after="120"/>
      </w:pPr>
      <w:r>
        <w:rPr>
          <w:i/>
          <w:iCs/>
        </w:rPr>
        <w:t xml:space="preserve">Recommendation: </w:t>
      </w:r>
      <w:r>
        <w:t xml:space="preserve">Option A. The pre-check is a single read call and saves gas. This also handles the case where a gateway restart picks up a state that was already broadcast.</w:t>
      </w:r>
    </w:p>
    <w:p>
      <w:pPr>
        <w:pStyle w:val="Heading2"/>
      </w:pPr>
      <w:r>
        <w:t xml:space="preserve">D-S4: What Happens When 1CS Returns FAILED or REFUNDED?</w:t>
      </w:r>
    </w:p>
    <w:p>
      <w:pPr>
        <w:spacing w:after="120"/>
      </w:pPr>
      <w:r>
        <w:t xml:space="preserve">The origin-chain tx succeeded (funds left the buyer’s wallet) but 1CS couldn’t complete the cross-chain swap.</w:t>
      </w:r>
    </w:p>
    <w:p>
      <w:pPr>
        <w:pStyle w:val="ListParagraph"/>
        <w:numPr>
          <w:ilvl w:val="0"/>
          <w:numId w:val="2"/>
        </w:numPr>
      </w:pPr>
      <w:r>
        <w:rPr>
          <w:b/>
          <w:bCs/>
        </w:rPr>
        <w:t xml:space="preserve">REFUNDED: </w:t>
      </w:r>
      <w:r>
        <w:t xml:space="preserve">1CS has sent the funds to the gateway’s refundAddress (cfg.gatewayRefundAddress). The settler should record RefundInfo (buyer address from signerAddress, amount, reason) and throw SwapFailedError so the middleware returns 502 with refund details.</w:t>
      </w:r>
    </w:p>
    <w:p>
      <w:pPr>
        <w:pStyle w:val="ListParagraph"/>
        <w:numPr>
          <w:ilvl w:val="0"/>
          <w:numId w:val="2"/>
        </w:numPr>
      </w:pPr>
      <w:r>
        <w:rPr>
          <w:b/>
          <w:bCs/>
        </w:rPr>
        <w:t xml:space="preserve">FAILED: </w:t>
      </w:r>
      <w:r>
        <w:t xml:space="preserve">Similar to REFUNDED but the failure may be more severe. Same handling: record what we know, return 502.</w:t>
      </w:r>
    </w:p>
    <w:p>
      <w:pPr>
        <w:spacing w:after="120"/>
      </w:pPr>
      <w:r>
        <w:rPr>
          <w:i/>
          <w:iCs/>
        </w:rPr>
        <w:t xml:space="preserve">No decision needed here </w:t>
      </w:r>
      <w:r>
        <w:t xml:space="preserve">— both map to SwapFailedError(502). Actual refund routing (sending funds from the gateway address back to the buyer) is Phase 3 (Step 3.4). For v1, the gateway logs the refund info and an operator handles it manually.</w:t>
      </w:r>
    </w:p>
    <w:p>
      <w:pPr>
        <w:pStyle w:val="Heading2"/>
      </w:pPr>
      <w:r>
        <w:t xml:space="preserve">D-S5: Settler Function Signature and Injectability</w:t>
      </w:r>
    </w:p>
    <w:p>
      <w:pPr>
        <w:spacing w:after="120"/>
      </w:pPr>
      <w:r>
        <w:t xml:space="preserve">Following the established pattern (QuoteFn in quote-engine, ChainReader in verifier), the settler needs injectable dependencies for testability:</w:t>
      </w:r>
    </w:p>
    <w:p>
      <w:pPr>
        <w:pStyle w:val="ListParagraph"/>
        <w:numPr>
          <w:ilvl w:val="0"/>
          <w:numId w:val="2"/>
        </w:numPr>
      </w:pPr>
      <w:r>
        <w:rPr>
          <w:b/>
          <w:bCs/>
        </w:rPr>
        <w:t xml:space="preserve">BroadcastFn: </w:t>
      </w:r>
      <w:r>
        <w:t xml:space="preserve">Injectable function for broadcasting on-chain transactions. In production, backed by an ethers.Wallet connected to a provider. In tests, a mock that returns a fake tx hash and receipt.</w:t>
      </w:r>
    </w:p>
    <w:p>
      <w:pPr>
        <w:pStyle w:val="ListParagraph"/>
        <w:numPr>
          <w:ilvl w:val="0"/>
          <w:numId w:val="2"/>
        </w:numPr>
      </w:pPr>
      <w:r>
        <w:rPr>
          <w:b/>
          <w:bCs/>
        </w:rPr>
        <w:t xml:space="preserve">DepositNotifyFn: </w:t>
      </w:r>
      <w:r>
        <w:t xml:space="preserve">Injectable function for calling 1CS submitDepositTx. Same pattern as QuoteFn — default delegates to OneClickService.submitDepositTx, tests inject a stub.</w:t>
      </w:r>
    </w:p>
    <w:p>
      <w:pPr>
        <w:pStyle w:val="ListParagraph"/>
        <w:numPr>
          <w:ilvl w:val="0"/>
          <w:numId w:val="2"/>
        </w:numPr>
      </w:pPr>
      <w:r>
        <w:rPr>
          <w:b/>
          <w:bCs/>
        </w:rPr>
        <w:t xml:space="preserve">StatusPollFn: </w:t>
      </w:r>
      <w:r>
        <w:t xml:space="preserve">Injectable function for calling 1CS getExecutionStatus. Enables tests to simulate status progressions (PROCESSING → PROCESSING → SUCCESS) without real HTTP.</w:t>
      </w:r>
    </w:p>
    <w:p>
      <w:pPr>
        <w:spacing w:after="120"/>
      </w:pPr>
      <w:r>
        <w:rPr>
          <w:i/>
          <w:iCs/>
        </w:rPr>
        <w:t xml:space="preserve">Recommendation: </w:t>
      </w:r>
      <w:r>
        <w:t xml:space="preserve">All three injectable. This is consistent with the project’s testing strategy and avoids the MSW/axios incompatibility we encountered in the quote engine.</w:t>
      </w:r>
    </w:p>
    <w:p>
      <w:r>
        <w:br w:type="page"/>
      </w:r>
    </w:p>
    <w:p>
      <w:pPr>
        <w:pStyle w:val="Heading2"/>
      </w:pPr>
      <w:r>
        <w:t xml:space="preserve">D-S6: Partial Failure Recovery</w:t>
      </w:r>
    </w:p>
    <w:p>
      <w:pPr>
        <w:spacing w:after="120"/>
      </w:pPr>
      <w:r>
        <w:t xml:space="preserve">The settler has a sequential pipeline (broadcast → notify → poll → respond). What if the process crashes midway?</w:t>
      </w:r>
    </w:p>
    <w:p>
      <w:pPr>
        <w:pStyle w:val="ListParagraph"/>
        <w:numPr>
          <w:ilvl w:val="0"/>
          <w:numId w:val="2"/>
        </w:numPr>
      </w:pPr>
      <w:r>
        <w:rPr>
          <w:b/>
          <w:bCs/>
        </w:rPr>
        <w:t xml:space="preserve">Phase BROADCASTING: </w:t>
      </w:r>
      <w:r>
        <w:t xml:space="preserve">Tx submitted but receipt not yet received. On restart: check the store for originTxHash, query the chain for its receipt. If confirmed, proceed to BROADCAST. If not found, the tx may still be in the mempool — wait briefly, then re-broadcast (nonce-already-used check prevents double-spend).</w:t>
      </w:r>
    </w:p>
    <w:p>
      <w:pPr>
        <w:pStyle w:val="ListParagraph"/>
        <w:numPr>
          <w:ilvl w:val="0"/>
          <w:numId w:val="2"/>
        </w:numPr>
      </w:pPr>
      <w:r>
        <w:rPr>
          <w:b/>
          <w:bCs/>
        </w:rPr>
        <w:t xml:space="preserve">Phase BROADCAST: </w:t>
      </w:r>
      <w:r>
        <w:t xml:space="preserve">Tx confirmed, but 1CS not yet notified. On restart: re-notify (idempotent), then resume polling.</w:t>
      </w:r>
    </w:p>
    <w:p>
      <w:pPr>
        <w:pStyle w:val="ListParagraph"/>
        <w:numPr>
          <w:ilvl w:val="0"/>
          <w:numId w:val="2"/>
        </w:numPr>
      </w:pPr>
      <w:r>
        <w:rPr>
          <w:b/>
          <w:bCs/>
        </w:rPr>
        <w:t xml:space="preserve">Phase POLLING: </w:t>
      </w:r>
      <w:r>
        <w:t xml:space="preserve">Polling was interrupted. On restart: resume polling from where we left off (the 1CS status endpoint is stateless and idempotent).</w:t>
      </w:r>
    </w:p>
    <w:p>
      <w:pPr>
        <w:spacing w:after="120"/>
      </w:pPr>
      <w:r>
        <w:rPr>
          <w:i/>
          <w:iCs/>
        </w:rPr>
        <w:t xml:space="preserve">Recommendation: </w:t>
      </w:r>
      <w:r>
        <w:t xml:space="preserve">For v1, implement the happy path only. The state store already persists phase + originTxHash + oneClickStatus, which gives Phase 3 (graceful shutdown, Step 3.5) everything it needs to implement recovery. Don’t over-engineer restart recovery before we have the middleware (Phase 2) that would trigger it.</w:t>
      </w:r>
    </w:p>
    <w:p>
      <w:pPr>
        <w:pStyle w:val="Heading1"/>
      </w:pPr>
      <w:r>
        <w:t xml:space="preserve">5. Implementation Plan</w:t>
      </w:r>
    </w:p>
    <w:p>
      <w:pPr>
        <w:spacing w:after="120"/>
      </w:pPr>
      <w:r>
        <w:t xml:space="preserve">The settler will be implemented as a single file (src/settler.ts) with clearly separated sub-functions, plus a comprehensive test file (src/settler.test.ts).</w:t>
      </w:r>
    </w:p>
    <w:p>
      <w:pPr>
        <w:pStyle w:val="Heading2"/>
      </w:pPr>
      <w:r>
        <w:t xml:space="preserve">5.1 Public API</w:t>
      </w:r>
    </w:p>
    <w:p>
      <w:pPr>
        <w:spacing w:after="120"/>
      </w:pPr>
      <w:r>
        <w:t xml:space="preserve">One main entry point:</w:t>
      </w:r>
    </w:p>
    <w:p>
      <w:pPr>
        <w:spacing w:after="120"/>
      </w:pPr>
      <w:r>
        <w:rPr>
          <w:rFonts w:ascii="Courier New" w:cs="Courier New" w:eastAsia="Courier New" w:hAnsi="Courier New"/>
          <w:sz w:val="20"/>
          <w:szCs w:val="20"/>
        </w:rPr>
        <w:t xml:space="preserve">settle(depositAddress, store, deps, cfg) → Promise&lt;SettlementResult&gt;</w:t>
      </w:r>
    </w:p>
    <w:p>
      <w:pPr>
        <w:spacing w:after="120"/>
      </w:pPr>
      <w:r>
        <w:t xml:space="preserve">Where deps is a SettlerDeps object bundling the three injectable functions plus an ethers.Provider. The function reads the VERIFIED state from the store, runs sub-steps A through D, updates the store at each phase transition, and returns a SettlementResult (success with response, or failure with error + refund info).</w:t>
      </w:r>
    </w:p>
    <w:p>
      <w:pPr>
        <w:pStyle w:val="Heading2"/>
      </w:pPr>
      <w:r>
        <w:t xml:space="preserve">5.2 File Structure</w:t>
      </w:r>
    </w:p>
    <w:p>
      <w:pPr>
        <w:pStyle w:val="ListParagraph"/>
        <w:numPr>
          <w:ilvl w:val="0"/>
          <w:numId w:val="2"/>
        </w:numPr>
      </w:pPr>
      <w:r>
        <w:rPr>
          <w:b/>
          <w:bCs/>
        </w:rPr>
        <w:t xml:space="preserve">settle() </w:t>
      </w:r>
      <w:r>
        <w:t xml:space="preserve">— orchestrator, drives the state machine</w:t>
      </w:r>
    </w:p>
    <w:p>
      <w:pPr>
        <w:pStyle w:val="ListParagraph"/>
        <w:numPr>
          <w:ilvl w:val="0"/>
          <w:numId w:val="2"/>
        </w:numPr>
      </w:pPr>
      <w:r>
        <w:rPr>
          <w:b/>
          <w:bCs/>
        </w:rPr>
        <w:t xml:space="preserve">broadcastTransfer() </w:t>
      </w:r>
      <w:r>
        <w:t xml:space="preserve">— sub-step A, routes EIP-3009 vs Permit2</w:t>
      </w:r>
    </w:p>
    <w:p>
      <w:pPr>
        <w:pStyle w:val="ListParagraph"/>
        <w:numPr>
          <w:ilvl w:val="0"/>
          <w:numId w:val="2"/>
        </w:numPr>
      </w:pPr>
      <w:r>
        <w:rPr>
          <w:b/>
          <w:bCs/>
        </w:rPr>
        <w:t xml:space="preserve">broadcastEIP3009() </w:t>
      </w:r>
      <w:r>
        <w:t xml:space="preserve">— nonce check, signature split, transferWithAuthorization call</w:t>
      </w:r>
    </w:p>
    <w:p>
      <w:pPr>
        <w:pStyle w:val="ListParagraph"/>
        <w:numPr>
          <w:ilvl w:val="0"/>
          <w:numId w:val="2"/>
        </w:numPr>
      </w:pPr>
      <w:r>
        <w:rPr>
          <w:b/>
          <w:bCs/>
        </w:rPr>
        <w:t xml:space="preserve">broadcastPermit2() </w:t>
      </w:r>
      <w:r>
        <w:t xml:space="preserve">— build args, x402ExactPermit2Proxy.settle call</w:t>
      </w:r>
    </w:p>
    <w:p>
      <w:pPr>
        <w:pStyle w:val="ListParagraph"/>
        <w:numPr>
          <w:ilvl w:val="0"/>
          <w:numId w:val="2"/>
        </w:numPr>
      </w:pPr>
      <w:r>
        <w:rPr>
          <w:b/>
          <w:bCs/>
        </w:rPr>
        <w:t xml:space="preserve">notifyDeposit() </w:t>
      </w:r>
      <w:r>
        <w:t xml:space="preserve">— sub-step B, fire-and-forget SDK call</w:t>
      </w:r>
    </w:p>
    <w:p>
      <w:pPr>
        <w:pStyle w:val="ListParagraph"/>
        <w:numPr>
          <w:ilvl w:val="0"/>
          <w:numId w:val="2"/>
        </w:numPr>
      </w:pPr>
      <w:r>
        <w:rPr>
          <w:b/>
          <w:bCs/>
        </w:rPr>
        <w:t xml:space="preserve">pollUntilTerminal() </w:t>
      </w:r>
      <w:r>
        <w:t xml:space="preserve">— sub-step C, exponential backoff loop</w:t>
      </w:r>
    </w:p>
    <w:p>
      <w:pPr>
        <w:pStyle w:val="ListParagraph"/>
        <w:numPr>
          <w:ilvl w:val="0"/>
          <w:numId w:val="2"/>
        </w:numPr>
      </w:pPr>
      <w:r>
        <w:rPr>
          <w:b/>
          <w:bCs/>
        </w:rPr>
        <w:t xml:space="preserve">buildSettlementResponse() </w:t>
      </w:r>
      <w:r>
        <w:t xml:space="preserve">— sub-step D, maps 1CS status to x402 response</w:t>
      </w:r>
    </w:p>
    <w:p>
      <w:pPr>
        <w:pStyle w:val="Heading2"/>
      </w:pPr>
      <w:r>
        <w:t xml:space="preserve">5.3 Testing Strategy</w:t>
      </w:r>
    </w:p>
    <w:p>
      <w:pPr>
        <w:spacing w:after="120"/>
      </w:pPr>
      <w:r>
        <w:t xml:space="preserve">All external interactions are injectable. Test categories:</w:t>
      </w:r>
    </w:p>
    <w:p>
      <w:pPr>
        <w:pStyle w:val="ListParagraph"/>
        <w:numPr>
          <w:ilvl w:val="0"/>
          <w:numId w:val="3"/>
        </w:numPr>
      </w:pPr>
      <w:r>
        <w:t xml:space="preserve">Happy path: QUOTED → VERIFIED → BROADCASTING → BROADCAST → POLLING → SETTLED, both EIP-3009 and Permit2</w:t>
      </w:r>
    </w:p>
    <w:p>
      <w:pPr>
        <w:pStyle w:val="ListParagraph"/>
        <w:numPr>
          <w:ilvl w:val="0"/>
          <w:numId w:val="3"/>
        </w:numPr>
      </w:pPr>
      <w:r>
        <w:t xml:space="preserve">Broadcast failures: revert, insufficient gas, nonce-already-used</w:t>
      </w:r>
    </w:p>
    <w:p>
      <w:pPr>
        <w:pStyle w:val="ListParagraph"/>
        <w:numPr>
          <w:ilvl w:val="0"/>
          <w:numId w:val="3"/>
        </w:numPr>
      </w:pPr>
      <w:r>
        <w:t xml:space="preserve">1CS terminal statuses: SUCCESS, FAILED, REFUNDED with correct error/refund mapping</w:t>
      </w:r>
    </w:p>
    <w:p>
      <w:pPr>
        <w:pStyle w:val="ListParagraph"/>
        <w:numPr>
          <w:ilvl w:val="0"/>
          <w:numId w:val="3"/>
        </w:numPr>
      </w:pPr>
      <w:r>
        <w:t xml:space="preserve">Polling edge cases: timeout, exponential backoff progression, status updates in store</w:t>
      </w:r>
    </w:p>
    <w:p>
      <w:pPr>
        <w:pStyle w:val="ListParagraph"/>
        <w:numPr>
          <w:ilvl w:val="0"/>
          <w:numId w:val="3"/>
        </w:numPr>
      </w:pPr>
      <w:r>
        <w:t xml:space="preserve">State transitions: verify each phase transition is valid and persisted</w:t>
      </w:r>
    </w:p>
    <w:p>
      <w:pPr>
        <w:pStyle w:val="ListParagraph"/>
        <w:numPr>
          <w:ilvl w:val="0"/>
          <w:numId w:val="3"/>
        </w:numPr>
      </w:pPr>
      <w:r>
        <w:t xml:space="preserve">Settlement response: correct field mapping from SwapDetails to SettlementResponseRecord</w:t>
      </w:r>
    </w:p>
    <w:p>
      <w:pPr>
        <w:pStyle w:val="Heading2"/>
      </w:pPr>
      <w:r>
        <w:t xml:space="preserve">5.4 Estimated Scope</w:t>
      </w:r>
    </w:p>
    <w:p>
      <w:pPr>
        <w:spacing w:after="120"/>
      </w:pPr>
      <w:r>
        <w:t xml:space="preserve">Based on the complexity analysis:</w:t>
      </w:r>
    </w:p>
    <w:p>
      <w:pPr>
        <w:pStyle w:val="ListParagraph"/>
        <w:numPr>
          <w:ilvl w:val="0"/>
          <w:numId w:val="2"/>
        </w:numPr>
      </w:pPr>
      <w:r>
        <w:t xml:space="preserve">settler.ts: ~350–450 lines (comparable to verifier.ts at ~350 lines, but with more sub-functions)</w:t>
      </w:r>
    </w:p>
    <w:p>
      <w:pPr>
        <w:pStyle w:val="ListParagraph"/>
        <w:numPr>
          <w:ilvl w:val="0"/>
          <w:numId w:val="2"/>
        </w:numPr>
      </w:pPr>
      <w:r>
        <w:t xml:space="preserve">settler.test.ts: ~400–500 lines (more test cases due to the branching failure modes)</w:t>
      </w:r>
    </w:p>
    <w:p>
      <w:pPr>
        <w:pStyle w:val="ListParagraph"/>
        <w:numPr>
          <w:ilvl w:val="0"/>
          <w:numId w:val="2"/>
        </w:numPr>
      </w:pPr>
      <w:r>
        <w:t xml:space="preserve">No new dependencies needed — ethers.js and the 1CS SDK are already installed</w:t>
      </w:r>
    </w:p>
    <w:p>
      <w:pPr>
        <w:pStyle w:val="ListParagraph"/>
        <w:numPr>
          <w:ilvl w:val="0"/>
          <w:numId w:val="2"/>
        </w:numPr>
      </w:pPr>
      <w:r>
        <w:t xml:space="preserve">No changes to existing modules required — all types and interfaces are already defined</w:t>
      </w:r>
    </w:p>
    <w:p>
      <w:pPr>
        <w:pStyle w:val="Heading1"/>
      </w:pPr>
      <w:r>
        <w:t xml:space="preserve">6. Dependencies Already in Place</w:t>
      </w:r>
    </w:p>
    <w:p>
      <w:pPr>
        <w:spacing w:after="120"/>
      </w:pPr>
      <w:r>
        <w:t xml:space="preserve">The settler needs these, all of which are already defined and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StateStore interface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VERIFIED state, update phase transitions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SettlementResult 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type of settle()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SwapFailedError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Thrown on FAILED/REFUNDED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SwapTimeoutError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Thrown on poll timeout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InsufficientGasError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Thrown on low facilitator balance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TERMINAL_STATUSES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if 1CS status is final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OneClickService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1CS SDK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submitDepositTx, getExecutionStatus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eip3009ABI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@x402/evm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transferWithAuthorization call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x402ExactPermit2ProxyABI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@x402/evm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Permit2 settle call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isEIP3009Payload, etc.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@x402/evm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Payload type detection</w:t>
            </w:r>
          </w:p>
        </w:tc>
      </w:tr>
    </w:tbl>
    <w:p>
      <w:pPr>
        <w:spacing w:after="120"/>
      </w:pPr>
      <w:r/>
    </w:p>
    <w:p>
      <w:pPr>
        <w:spacing w:after="120"/>
      </w:pPr>
      <w:r>
        <w:rPr>
          <w:i/>
          <w:iCs/>
        </w:rPr>
        <w:t xml:space="preserve">Conclusion: </w:t>
      </w:r>
      <w:r>
        <w:t xml:space="preserve">The settler is the most complex module but all its prerequisites are in place. The injectable dependency pattern is proven (quote engine, verifier) and the state store’s phase transition validation will catch any lifecycle bugs. The six design decisions above are the main choices to finalize before implementation.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999999"/>
        <w:sz w:val="16"/>
        <w:szCs w:val="16"/>
      </w:rPr>
      <w:t xml:space="preserve">x402-1CS Gateway  |  Step 1.4 Settler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2026-03-31T16:01:41.206Z</dcterms:created>
  <dcterms:modified xsi:type="dcterms:W3CDTF">2026-03-31T16:01:41.207Z</dcterms:modified>
</cp:coreProperties>
</file>

<file path=docProps/custom.xml><?xml version="1.0" encoding="utf-8"?>
<Properties xmlns="http://schemas.openxmlformats.org/officeDocument/2006/custom-properties" xmlns:vt="http://schemas.openxmlformats.org/officeDocument/2006/docPropsVTypes"/>
</file>