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Berliner Evidenz</w:t>
      </w:r>
    </w:p>
    <w:p>
      <w:r>
        <w:t>Die Behörde veröffentlicht einen deutschen Beleg mit Umlauten: Müller, Straße, Förderung.</w:t>
      </w:r>
    </w:p>
    <w:p>
      <w:pPr>
        <w:pStyle w:val="Heading1"/>
      </w:pPr>
      <w:r>
        <w:t>English evidence</w:t>
      </w:r>
    </w:p>
    <w:p>
      <w:r>
        <w:t>The authority publishes an English evidence paragraph for comparison.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Kennzahl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Berlin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retained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Noesis MarkItDown Fixture</dc:title>
  <dc:subject/>
  <dc:creator>Noesis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