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87F23" w14:textId="1D56AE29" w:rsidR="00546F7F" w:rsidRPr="004123A0" w:rsidRDefault="00F65C5C" w:rsidP="00D855A6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mn-MN"/>
        </w:rPr>
      </w:pPr>
      <w:r w:rsidRPr="004123A0">
        <w:rPr>
          <w:rFonts w:ascii="Times New Roman" w:hAnsi="Times New Roman" w:cs="Times New Roman"/>
          <w:b/>
          <w:bCs/>
          <w:sz w:val="32"/>
          <w:szCs w:val="32"/>
          <w:lang w:val="mn-MN"/>
        </w:rPr>
        <w:t>Төслийн</w:t>
      </w:r>
      <w:r w:rsidR="004123A0" w:rsidRPr="004123A0">
        <w:rPr>
          <w:rFonts w:ascii="Times New Roman" w:hAnsi="Times New Roman" w:cs="Times New Roman"/>
          <w:b/>
          <w:bCs/>
          <w:sz w:val="32"/>
          <w:szCs w:val="32"/>
          <w:lang w:val="mn-MN"/>
        </w:rPr>
        <w:t xml:space="preserve"> хамрах хүрээний, эрсдэлийн шинжилгээ</w:t>
      </w:r>
    </w:p>
    <w:p w14:paraId="303C9235" w14:textId="77777777" w:rsidR="00C34CCB" w:rsidRPr="004123A0" w:rsidRDefault="00C34CCB" w:rsidP="00D855A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</w:p>
    <w:p w14:paraId="4B170824" w14:textId="0856D1A8" w:rsidR="00546F7F" w:rsidRPr="004123A0" w:rsidRDefault="00546F7F" w:rsidP="00D855A6">
      <w:p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123A0">
        <w:rPr>
          <w:rFonts w:ascii="Times New Roman" w:hAnsi="Times New Roman" w:cs="Times New Roman"/>
          <w:lang w:val="mn-MN"/>
        </w:rPr>
        <w:t xml:space="preserve">Төслийн нэр: </w:t>
      </w:r>
      <w:r w:rsidRPr="004123A0">
        <w:rPr>
          <w:rFonts w:ascii="Times New Roman" w:hAnsi="Times New Roman" w:cs="Times New Roman"/>
          <w:lang w:val="en-US"/>
        </w:rPr>
        <w:t>SiSi</w:t>
      </w:r>
    </w:p>
    <w:p w14:paraId="18D22520" w14:textId="77777777" w:rsidR="004123A0" w:rsidRPr="004123A0" w:rsidRDefault="00546F7F" w:rsidP="004123A0">
      <w:pPr>
        <w:spacing w:after="160" w:line="259" w:lineRule="auto"/>
        <w:jc w:val="both"/>
        <w:rPr>
          <w:rFonts w:ascii="Times New Roman" w:hAnsi="Times New Roman" w:cs="Times New Roman"/>
          <w:lang w:val="mn-MN"/>
        </w:rPr>
      </w:pPr>
      <w:r w:rsidRPr="004123A0">
        <w:rPr>
          <w:rFonts w:ascii="Times New Roman" w:hAnsi="Times New Roman" w:cs="Times New Roman"/>
          <w:lang w:val="mn-MN"/>
        </w:rPr>
        <w:t xml:space="preserve">Гүйцэтгэсэн: Бат-Эрдэнэ, Ихбаяр, </w:t>
      </w:r>
      <w:r w:rsidR="00695C9A" w:rsidRPr="004123A0">
        <w:rPr>
          <w:rFonts w:ascii="Times New Roman" w:hAnsi="Times New Roman" w:cs="Times New Roman"/>
          <w:lang w:val="mn-MN"/>
        </w:rPr>
        <w:t>Баянмөнх, Ган-Эрдэнэ</w:t>
      </w:r>
    </w:p>
    <w:p w14:paraId="5606EC08" w14:textId="54E56323" w:rsidR="004123A0" w:rsidRPr="004123A0" w:rsidRDefault="004123A0" w:rsidP="004123A0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 w:cs="Times New Roman"/>
          <w:lang w:val="mn-MN"/>
        </w:rPr>
      </w:pPr>
      <w:r w:rsidRPr="004123A0">
        <w:rPr>
          <w:rFonts w:ascii="Times New Roman" w:hAnsi="Times New Roman" w:cs="Times New Roman"/>
          <w:b/>
          <w:bCs/>
          <w:sz w:val="32"/>
          <w:szCs w:val="32"/>
          <w:lang w:val="mn-MN"/>
        </w:rPr>
        <w:t>Төслийн хамрах хүрээний</w:t>
      </w:r>
      <w:r w:rsidRPr="004123A0">
        <w:rPr>
          <w:rFonts w:ascii="Times New Roman" w:hAnsi="Times New Roman" w:cs="Times New Roman"/>
          <w:b/>
          <w:bCs/>
          <w:sz w:val="32"/>
          <w:szCs w:val="32"/>
          <w:lang w:val="mn-MN"/>
        </w:rPr>
        <w:t xml:space="preserve"> шинжилгээ</w:t>
      </w:r>
    </w:p>
    <w:p w14:paraId="314A2CED" w14:textId="114C7D40" w:rsidR="00F65C5C" w:rsidRPr="004123A0" w:rsidRDefault="00F65C5C" w:rsidP="004123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3A0">
        <w:rPr>
          <w:rFonts w:ascii="Times New Roman" w:hAnsi="Times New Roman" w:cs="Times New Roman"/>
          <w:b/>
          <w:sz w:val="24"/>
          <w:szCs w:val="24"/>
        </w:rPr>
        <w:t>Хураангуй</w:t>
      </w:r>
    </w:p>
    <w:p w14:paraId="100625A9" w14:textId="77777777" w:rsidR="004123A0" w:rsidRPr="004123A0" w:rsidRDefault="00B8157A" w:rsidP="004123A0">
      <w:p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Сиси мэдээллийн систем нь багш оюутан хоёрын хооронд харилцахад хүндрэлтэй байдаг учраас зарим нэгэн нэмэлт өөрчлөлт оруулахаар болсон. Түүнчлэн багийн гишүүд тус бүр өөр өөрсдийн хувьд сайжруулж болохуйц зүйлс</w:t>
      </w:r>
      <w:r w:rsidR="004123A0" w:rsidRPr="004123A0">
        <w:rPr>
          <w:rFonts w:ascii="Times New Roman" w:hAnsi="Times New Roman" w:cs="Times New Roman"/>
          <w:sz w:val="24"/>
          <w:szCs w:val="24"/>
        </w:rPr>
        <w:t xml:space="preserve"> дээр шаардлагыг боловсруулсан.</w:t>
      </w:r>
    </w:p>
    <w:p w14:paraId="7379FBA8" w14:textId="05D089E5" w:rsidR="00F65C5C" w:rsidRPr="004123A0" w:rsidRDefault="00F65C5C" w:rsidP="004123A0">
      <w:p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b/>
          <w:sz w:val="24"/>
          <w:szCs w:val="24"/>
        </w:rPr>
        <w:t>Бизнесийн зорилго</w:t>
      </w:r>
    </w:p>
    <w:p w14:paraId="29B86274" w14:textId="0D28B105" w:rsidR="00F65C5C" w:rsidRPr="004123A0" w:rsidRDefault="00B8157A" w:rsidP="00D855A6">
      <w:p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Энэхүү төслийн хамрах хүрээ нь МУИС – ийн оюутан, багш, захиргааны ажилчид цахим харилцааг дэмжих зорилготой вэб дээр суурилсан систем юм. Одоогийн хэрэглэж буй системийг сайжруулана. Энэхүү систем нь хурдан шуурхай байдлыг гол зорилгоо болгох бөгөөд одооги</w:t>
      </w:r>
      <w:bookmarkStart w:id="0" w:name="_GoBack"/>
      <w:bookmarkEnd w:id="0"/>
      <w:r w:rsidRPr="004123A0">
        <w:rPr>
          <w:rFonts w:ascii="Times New Roman" w:hAnsi="Times New Roman" w:cs="Times New Roman"/>
          <w:sz w:val="24"/>
          <w:szCs w:val="24"/>
        </w:rPr>
        <w:t>йн байгаа систем дээрх боломжуудыг бүгдийг нь агуулахаас гадна нэмэлт боломжуудыг агуулсан байна.</w:t>
      </w:r>
    </w:p>
    <w:p w14:paraId="21A5D0E3" w14:textId="0E7B2280" w:rsidR="00F65C5C" w:rsidRPr="004123A0" w:rsidRDefault="00F65C5C" w:rsidP="004123A0">
      <w:pPr>
        <w:jc w:val="both"/>
        <w:rPr>
          <w:rFonts w:ascii="Times New Roman" w:hAnsi="Times New Roman" w:cs="Times New Roman"/>
        </w:rPr>
      </w:pPr>
      <w:r w:rsidRPr="004123A0">
        <w:rPr>
          <w:rFonts w:ascii="Times New Roman" w:hAnsi="Times New Roman" w:cs="Times New Roman"/>
          <w:b/>
          <w:sz w:val="24"/>
          <w:szCs w:val="24"/>
        </w:rPr>
        <w:t>Төслийн тодорхойлолт</w:t>
      </w:r>
    </w:p>
    <w:p w14:paraId="714B58A6" w14:textId="3B92761F" w:rsidR="00F65C5C" w:rsidRPr="004123A0" w:rsidRDefault="00F65C5C" w:rsidP="00D855A6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Fonts w:ascii="Times New Roman" w:hAnsi="Times New Roman" w:cs="Times New Roman"/>
          <w:sz w:val="24"/>
          <w:szCs w:val="24"/>
        </w:rPr>
        <w:t>Төслийн хүрээ</w:t>
      </w:r>
      <w:r w:rsidR="00695C9A" w:rsidRPr="004123A0">
        <w:rPr>
          <w:rFonts w:ascii="Times New Roman" w:hAnsi="Times New Roman" w:cs="Times New Roman"/>
          <w:sz w:val="24"/>
          <w:szCs w:val="24"/>
          <w:lang w:val="mn-MN"/>
        </w:rPr>
        <w:t>:</w:t>
      </w:r>
    </w:p>
    <w:p w14:paraId="7294BD61" w14:textId="77777777" w:rsidR="00F65C5C" w:rsidRPr="004123A0" w:rsidRDefault="00F65C5C" w:rsidP="00D855A6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23A0">
        <w:rPr>
          <w:rFonts w:ascii="Times New Roman" w:hAnsi="Times New Roman" w:cs="Times New Roman"/>
          <w:sz w:val="24"/>
          <w:szCs w:val="24"/>
          <w:u w:val="single"/>
        </w:rPr>
        <w:t>Шинжилгээ</w:t>
      </w:r>
    </w:p>
    <w:p w14:paraId="4F3233CA" w14:textId="77777777" w:rsidR="00F65C5C" w:rsidRPr="004123A0" w:rsidRDefault="00F65C5C" w:rsidP="00D855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Бизнесийн шаардлагын шинжилгээ</w:t>
      </w:r>
    </w:p>
    <w:p w14:paraId="53F9A878" w14:textId="77777777" w:rsidR="00F65C5C" w:rsidRPr="004123A0" w:rsidRDefault="00F65C5C" w:rsidP="00D855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Бизнес процесийн загвар</w:t>
      </w:r>
    </w:p>
    <w:p w14:paraId="2BC0E680" w14:textId="6D1BB74C" w:rsidR="00F65C5C" w:rsidRPr="004123A0" w:rsidRDefault="00F65C5C" w:rsidP="00D855A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23A0">
        <w:rPr>
          <w:rFonts w:ascii="Times New Roman" w:hAnsi="Times New Roman" w:cs="Times New Roman"/>
          <w:sz w:val="24"/>
          <w:szCs w:val="24"/>
        </w:rPr>
        <w:tab/>
      </w:r>
      <w:r w:rsidRPr="004123A0">
        <w:rPr>
          <w:rFonts w:ascii="Times New Roman" w:hAnsi="Times New Roman" w:cs="Times New Roman"/>
          <w:sz w:val="24"/>
          <w:szCs w:val="24"/>
          <w:u w:val="single"/>
        </w:rPr>
        <w:t>Загвар, Хөгжүүлэлт</w:t>
      </w:r>
    </w:p>
    <w:p w14:paraId="22578D5A" w14:textId="77777777" w:rsidR="00F65C5C" w:rsidRPr="004123A0" w:rsidRDefault="00F65C5C" w:rsidP="00D855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 xml:space="preserve">Функциональ зохиомж </w:t>
      </w:r>
    </w:p>
    <w:p w14:paraId="13D668CD" w14:textId="77777777" w:rsidR="00F65C5C" w:rsidRPr="004123A0" w:rsidRDefault="00F65C5C" w:rsidP="00D855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Техник зохиомж</w:t>
      </w:r>
    </w:p>
    <w:p w14:paraId="237F2F4E" w14:textId="0EBC6D76" w:rsidR="00F65C5C" w:rsidRPr="004123A0" w:rsidRDefault="00F65C5C" w:rsidP="00D855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Тайлан гарга</w:t>
      </w:r>
      <w:r w:rsidR="00B8157A" w:rsidRPr="004123A0">
        <w:rPr>
          <w:rFonts w:ascii="Times New Roman" w:hAnsi="Times New Roman" w:cs="Times New Roman"/>
          <w:sz w:val="24"/>
          <w:szCs w:val="24"/>
          <w:lang w:val="mn-MN"/>
        </w:rPr>
        <w:t>х</w:t>
      </w:r>
      <w:r w:rsidRPr="004123A0">
        <w:rPr>
          <w:rFonts w:ascii="Times New Roman" w:hAnsi="Times New Roman" w:cs="Times New Roman"/>
          <w:sz w:val="24"/>
          <w:szCs w:val="24"/>
        </w:rPr>
        <w:t>, зохиомж</w:t>
      </w:r>
    </w:p>
    <w:p w14:paraId="61468AF7" w14:textId="77777777" w:rsidR="00F65C5C" w:rsidRPr="004123A0" w:rsidRDefault="00F65C5C" w:rsidP="00D855A6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23A0">
        <w:rPr>
          <w:rFonts w:ascii="Times New Roman" w:hAnsi="Times New Roman" w:cs="Times New Roman"/>
          <w:sz w:val="24"/>
          <w:szCs w:val="24"/>
          <w:u w:val="single"/>
        </w:rPr>
        <w:t>Тест хийх</w:t>
      </w:r>
    </w:p>
    <w:p w14:paraId="6A4E1872" w14:textId="77777777" w:rsidR="00F65C5C" w:rsidRPr="004123A0" w:rsidRDefault="00F65C5C" w:rsidP="00D855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Тест хийх стратеги</w:t>
      </w:r>
    </w:p>
    <w:p w14:paraId="510CAAC6" w14:textId="77777777" w:rsidR="00F65C5C" w:rsidRPr="004123A0" w:rsidRDefault="00F65C5C" w:rsidP="00D855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Системийн тестийн скрипт</w:t>
      </w:r>
    </w:p>
    <w:p w14:paraId="6E005434" w14:textId="6DBFFA11" w:rsidR="00F65C5C" w:rsidRPr="004123A0" w:rsidRDefault="00F65C5C" w:rsidP="00D855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Хэрэглэгчийн тест хийх заавар, төрөл</w:t>
      </w:r>
    </w:p>
    <w:p w14:paraId="1DAB4CC6" w14:textId="77777777" w:rsidR="00F65C5C" w:rsidRPr="004123A0" w:rsidRDefault="00F65C5C" w:rsidP="00D855A6">
      <w:p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ab/>
        <w:t>3.2 Төслийг дуусгах шалгуурууд</w:t>
      </w:r>
    </w:p>
    <w:p w14:paraId="4FAD0166" w14:textId="77777777" w:rsidR="00F65C5C" w:rsidRPr="004123A0" w:rsidRDefault="00F65C5C" w:rsidP="00D855A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Захиалагчийн баталгаажуулалт</w:t>
      </w:r>
    </w:p>
    <w:p w14:paraId="3B1B8C1C" w14:textId="77777777" w:rsidR="00F65C5C" w:rsidRPr="004123A0" w:rsidRDefault="00F65C5C" w:rsidP="00D855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3.3 Хязгаарлалт</w:t>
      </w:r>
    </w:p>
    <w:p w14:paraId="15D7C55A" w14:textId="1EC1D758" w:rsidR="00F65C5C" w:rsidRPr="004123A0" w:rsidRDefault="00F65C5C" w:rsidP="00D855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3A0">
        <w:rPr>
          <w:rFonts w:ascii="Times New Roman" w:hAnsi="Times New Roman" w:cs="Times New Roman"/>
          <w:sz w:val="24"/>
          <w:szCs w:val="24"/>
        </w:rPr>
        <w:t>Тухайн бүтээгдэхүүний үйл ажиллагаа нь Монгол улсын хууль зүйн хүрээнд зохицуулагдсан, зөрчилгүй байна.</w:t>
      </w:r>
    </w:p>
    <w:p w14:paraId="0D6F0784" w14:textId="777FFD6F" w:rsidR="00C34CCB" w:rsidRPr="004123A0" w:rsidRDefault="00C34CCB" w:rsidP="00D855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BB81C" w14:textId="07E0CFE0" w:rsidR="00C34CCB" w:rsidRPr="004123A0" w:rsidRDefault="00C34CCB" w:rsidP="00D855A6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 w:rsidRPr="004123A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9381E4" wp14:editId="746578FD">
            <wp:extent cx="5943600" cy="509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p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DE22" w14:textId="77777777" w:rsidR="00C34CCB" w:rsidRPr="004123A0" w:rsidRDefault="00C34CCB" w:rsidP="00D855A6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</w:p>
    <w:p w14:paraId="0835AEF5" w14:textId="046D6147" w:rsidR="008D48FA" w:rsidRPr="004123A0" w:rsidRDefault="004E5C64" w:rsidP="00D855A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 w:rsidRPr="004123A0">
        <w:rPr>
          <w:rFonts w:ascii="Times New Roman" w:hAnsi="Times New Roman" w:cs="Times New Roman"/>
          <w:b/>
          <w:bCs/>
          <w:sz w:val="28"/>
          <w:szCs w:val="28"/>
          <w:lang w:val="mn-MN"/>
        </w:rPr>
        <w:t>Зорилтот бүлгийн шинжилгээ</w:t>
      </w:r>
    </w:p>
    <w:p w14:paraId="73399F0E" w14:textId="0497DA1F" w:rsidR="004E5C64" w:rsidRPr="004123A0" w:rsidRDefault="004E5C64" w:rsidP="00D855A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</w:p>
    <w:p w14:paraId="50977874" w14:textId="5E01776D" w:rsidR="004E5C64" w:rsidRPr="004123A0" w:rsidRDefault="004E5C64" w:rsidP="00D855A6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Fonts w:ascii="Times New Roman" w:hAnsi="Times New Roman" w:cs="Times New Roman"/>
          <w:sz w:val="24"/>
          <w:szCs w:val="24"/>
          <w:lang w:val="mn-MN"/>
        </w:rPr>
        <w:t xml:space="preserve">Гол оролцогч талууд: </w:t>
      </w:r>
      <w:r w:rsidR="00511569" w:rsidRPr="004123A0">
        <w:rPr>
          <w:rFonts w:ascii="Times New Roman" w:hAnsi="Times New Roman" w:cs="Times New Roman"/>
          <w:sz w:val="24"/>
          <w:szCs w:val="24"/>
          <w:lang w:val="mn-MN"/>
        </w:rPr>
        <w:t xml:space="preserve">МУИС-н нийт оюутан, багш ажилчид буюу </w:t>
      </w:r>
      <w:r w:rsidR="00511569" w:rsidRPr="004123A0">
        <w:rPr>
          <w:rFonts w:ascii="Times New Roman" w:hAnsi="Times New Roman" w:cs="Times New Roman"/>
          <w:sz w:val="24"/>
          <w:szCs w:val="24"/>
          <w:lang w:val="en-US"/>
        </w:rPr>
        <w:t xml:space="preserve">SiSi </w:t>
      </w:r>
      <w:r w:rsidR="00511569" w:rsidRPr="004123A0">
        <w:rPr>
          <w:rFonts w:ascii="Times New Roman" w:hAnsi="Times New Roman" w:cs="Times New Roman"/>
          <w:sz w:val="24"/>
          <w:szCs w:val="24"/>
          <w:lang w:val="mn-MN"/>
        </w:rPr>
        <w:t>системийг ашиглагчид болон хөгжүүлэлтийн багийнхан.</w:t>
      </w:r>
    </w:p>
    <w:p w14:paraId="794F6F01" w14:textId="77627478" w:rsidR="00511569" w:rsidRPr="004123A0" w:rsidRDefault="00511569" w:rsidP="00D855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B0A38" w14:textId="3ADDA251" w:rsidR="00511569" w:rsidRPr="004123A0" w:rsidRDefault="00511569" w:rsidP="00D855A6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Fonts w:ascii="Times New Roman" w:hAnsi="Times New Roman" w:cs="Times New Roman"/>
          <w:sz w:val="24"/>
          <w:szCs w:val="24"/>
          <w:lang w:val="mn-MN"/>
        </w:rPr>
        <w:t xml:space="preserve">Хэрэглэгчидээс авсан судалгаанаас үүдэн гаргасан шаардлага бүхий мэдээлэлээс гаргасан зорилго нь: </w:t>
      </w:r>
    </w:p>
    <w:p w14:paraId="63A8CB46" w14:textId="77777777" w:rsidR="00D855A6" w:rsidRPr="004123A0" w:rsidRDefault="00D855A6" w:rsidP="00D855A6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F9F36BE" w14:textId="683AE6D7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t>тухайн мэдээллийн санал болголтыг тодорхой хэрэглэгчдэд тохируулах</w:t>
      </w:r>
    </w:p>
    <w:p w14:paraId="15A432A3" w14:textId="77777777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Style w:val="tlid-translation"/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t>хэрэглэгчийн хэлбэр дээр үндэслэн вэб хуудсуудад дифференциал хандах боломжийг олгоно</w:t>
      </w:r>
    </w:p>
    <w:p w14:paraId="12FF83BF" w14:textId="77777777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t>мэдээллийг шууд хадгалах боломжийг олгоно</w:t>
      </w:r>
    </w:p>
    <w:p w14:paraId="5DF7559D" w14:textId="326B59CC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Style w:val="tlid-translation"/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t>эрэлт хэрэгцээтэй мэдээллийн хуудас руу нэвтрэх боломжийг олгох</w:t>
      </w:r>
    </w:p>
    <w:p w14:paraId="44E0BFA2" w14:textId="77777777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lastRenderedPageBreak/>
        <w:t>хэрэглэгчийн нэвтрэх эрхтэй вэб хуудасны бүрэн текст хайлт</w:t>
      </w:r>
    </w:p>
    <w:p w14:paraId="33B308E2" w14:textId="77777777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Style w:val="tlid-translation"/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t>вэбсайт навигацийн талаархи онлайн туслам</w:t>
      </w:r>
      <w:r w:rsidRPr="004123A0">
        <w:rPr>
          <w:rStyle w:val="tlid-translation"/>
          <w:rFonts w:ascii="Times New Roman" w:hAnsi="Times New Roman" w:cs="Times New Roman"/>
          <w:lang w:val="mn-MN"/>
        </w:rPr>
        <w:t>ж</w:t>
      </w:r>
    </w:p>
    <w:p w14:paraId="2F8ED8F6" w14:textId="77777777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t>олон нийтийн бус вэб хуудасны нууц үгийг хамгаалах схем</w:t>
      </w:r>
    </w:p>
    <w:p w14:paraId="5B60B449" w14:textId="634029C2" w:rsidR="00D855A6" w:rsidRPr="004123A0" w:rsidRDefault="00D855A6" w:rsidP="00D855A6">
      <w:pPr>
        <w:pStyle w:val="ListParagraph"/>
        <w:numPr>
          <w:ilvl w:val="0"/>
          <w:numId w:val="16"/>
        </w:numPr>
        <w:jc w:val="both"/>
        <w:rPr>
          <w:rStyle w:val="tlid-translation"/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Style w:val="tlid-translation"/>
          <w:rFonts w:ascii="Times New Roman" w:hAnsi="Times New Roman" w:cs="Times New Roman"/>
        </w:rPr>
        <w:t>вэб хуудсыг өөр хэл рүү орчуулах</w:t>
      </w:r>
    </w:p>
    <w:p w14:paraId="170029BA" w14:textId="77777777" w:rsidR="00D855A6" w:rsidRPr="004123A0" w:rsidRDefault="00D855A6" w:rsidP="00D855A6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4123A0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7"/>
        <w:gridCol w:w="1163"/>
        <w:gridCol w:w="1169"/>
        <w:gridCol w:w="1162"/>
        <w:gridCol w:w="1162"/>
        <w:gridCol w:w="1205"/>
        <w:gridCol w:w="1162"/>
      </w:tblGrid>
      <w:tr w:rsidR="00D855A6" w:rsidRPr="004123A0" w14:paraId="6A9EF97C" w14:textId="77777777" w:rsidTr="004123A0">
        <w:tc>
          <w:tcPr>
            <w:tcW w:w="1160" w:type="dxa"/>
          </w:tcPr>
          <w:p w14:paraId="13068092" w14:textId="6D2F73DB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Оролцогч тал</w:t>
            </w:r>
          </w:p>
        </w:tc>
        <w:tc>
          <w:tcPr>
            <w:tcW w:w="1167" w:type="dxa"/>
          </w:tcPr>
          <w:p w14:paraId="7B7F16AF" w14:textId="0384EAC1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Холбогдох хүн</w:t>
            </w:r>
          </w:p>
        </w:tc>
        <w:tc>
          <w:tcPr>
            <w:tcW w:w="1163" w:type="dxa"/>
          </w:tcPr>
          <w:p w14:paraId="559639E0" w14:textId="2AE1E105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Нөлөөлөл </w:t>
            </w:r>
            <w:r w:rsidRPr="004123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оролцогч талд</w:t>
            </w:r>
            <w:r w:rsidRPr="004123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69" w:type="dxa"/>
          </w:tcPr>
          <w:p w14:paraId="7F371B6A" w14:textId="7C474EC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Нөлөөлөл </w:t>
            </w:r>
            <w:r w:rsidRPr="004123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үйл ажиллагаа</w:t>
            </w:r>
            <w:r w:rsidRPr="004123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62" w:type="dxa"/>
          </w:tcPr>
          <w:p w14:paraId="0023B7EF" w14:textId="52F1BC25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Оролцогч талд чухал зүйл</w:t>
            </w:r>
          </w:p>
        </w:tc>
        <w:tc>
          <w:tcPr>
            <w:tcW w:w="1162" w:type="dxa"/>
          </w:tcPr>
          <w:p w14:paraId="7553FA34" w14:textId="5ACF4648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Оролцогч тал төсөлд ямар хувь нэмрийг хэрхэн оруулах боломж</w:t>
            </w:r>
          </w:p>
        </w:tc>
        <w:tc>
          <w:tcPr>
            <w:tcW w:w="1205" w:type="dxa"/>
          </w:tcPr>
          <w:p w14:paraId="31B28771" w14:textId="3C44E7B9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Оролцогч тал төслийн үйл ажиллагаан д учруулж болохуйц саадууд</w:t>
            </w:r>
          </w:p>
        </w:tc>
        <w:tc>
          <w:tcPr>
            <w:tcW w:w="1162" w:type="dxa"/>
          </w:tcPr>
          <w:p w14:paraId="2902C727" w14:textId="02DBCFFC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Оролцогч талтай хамтран ажиллах арга барил/ стратеги</w:t>
            </w:r>
          </w:p>
        </w:tc>
      </w:tr>
      <w:tr w:rsidR="00D855A6" w:rsidRPr="004123A0" w14:paraId="5FC44786" w14:textId="77777777" w:rsidTr="004123A0">
        <w:tc>
          <w:tcPr>
            <w:tcW w:w="1160" w:type="dxa"/>
          </w:tcPr>
          <w:p w14:paraId="6FD5ED79" w14:textId="45C6B124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  <w:tc>
          <w:tcPr>
            <w:tcW w:w="1167" w:type="dxa"/>
          </w:tcPr>
          <w:p w14:paraId="7D043C94" w14:textId="72868D91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  <w:tc>
          <w:tcPr>
            <w:tcW w:w="1163" w:type="dxa"/>
          </w:tcPr>
          <w:p w14:paraId="26950343" w14:textId="2EF1DC34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  <w:tc>
          <w:tcPr>
            <w:tcW w:w="1169" w:type="dxa"/>
          </w:tcPr>
          <w:p w14:paraId="3DAAE0CE" w14:textId="0F99795B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  <w:tc>
          <w:tcPr>
            <w:tcW w:w="1162" w:type="dxa"/>
          </w:tcPr>
          <w:p w14:paraId="5F7F12E7" w14:textId="0DD14FF5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  <w:tc>
          <w:tcPr>
            <w:tcW w:w="1162" w:type="dxa"/>
          </w:tcPr>
          <w:p w14:paraId="2905207B" w14:textId="31F530D0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  <w:tc>
          <w:tcPr>
            <w:tcW w:w="1205" w:type="dxa"/>
          </w:tcPr>
          <w:p w14:paraId="44BBCC20" w14:textId="265E67FE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  <w:tc>
          <w:tcPr>
            <w:tcW w:w="1162" w:type="dxa"/>
          </w:tcPr>
          <w:p w14:paraId="7392BF5D" w14:textId="0EC8393E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4123A0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-</w:t>
            </w:r>
          </w:p>
        </w:tc>
      </w:tr>
      <w:tr w:rsidR="00D855A6" w:rsidRPr="004123A0" w14:paraId="30A2EC0D" w14:textId="77777777" w:rsidTr="004123A0">
        <w:tc>
          <w:tcPr>
            <w:tcW w:w="1160" w:type="dxa"/>
          </w:tcPr>
          <w:p w14:paraId="07F8B986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7" w:type="dxa"/>
          </w:tcPr>
          <w:p w14:paraId="6BF1F4FC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3" w:type="dxa"/>
          </w:tcPr>
          <w:p w14:paraId="3C50674D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9" w:type="dxa"/>
          </w:tcPr>
          <w:p w14:paraId="7397C345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2" w:type="dxa"/>
          </w:tcPr>
          <w:p w14:paraId="202B2727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2" w:type="dxa"/>
          </w:tcPr>
          <w:p w14:paraId="3289CB06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205" w:type="dxa"/>
          </w:tcPr>
          <w:p w14:paraId="6B3E866F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2" w:type="dxa"/>
          </w:tcPr>
          <w:p w14:paraId="58B847AF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</w:tr>
      <w:tr w:rsidR="00D855A6" w:rsidRPr="004123A0" w14:paraId="1319FD1E" w14:textId="77777777" w:rsidTr="004123A0">
        <w:tc>
          <w:tcPr>
            <w:tcW w:w="1160" w:type="dxa"/>
          </w:tcPr>
          <w:p w14:paraId="754682A4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7" w:type="dxa"/>
          </w:tcPr>
          <w:p w14:paraId="2D0EB834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3" w:type="dxa"/>
          </w:tcPr>
          <w:p w14:paraId="28BD68A7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9" w:type="dxa"/>
          </w:tcPr>
          <w:p w14:paraId="05648645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2" w:type="dxa"/>
          </w:tcPr>
          <w:p w14:paraId="7C7FAFFF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2" w:type="dxa"/>
          </w:tcPr>
          <w:p w14:paraId="498FCCE9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205" w:type="dxa"/>
          </w:tcPr>
          <w:p w14:paraId="2CB4E97A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  <w:tc>
          <w:tcPr>
            <w:tcW w:w="1162" w:type="dxa"/>
          </w:tcPr>
          <w:p w14:paraId="336DB733" w14:textId="77777777" w:rsidR="00D855A6" w:rsidRPr="004123A0" w:rsidRDefault="00D855A6" w:rsidP="00D855A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</w:p>
        </w:tc>
      </w:tr>
    </w:tbl>
    <w:p w14:paraId="1693A3AB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01D9FC45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46B61295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0DC5D831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74CA2136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1D456593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349A18B1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4597B9D1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35EB80C8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0969B67E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5E9B54F7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050C83F2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3252B5E8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263E49A8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1489B463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235F583B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77476253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30306FE5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649B29EE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540082C5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16FAD0F2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29825CAE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35909CF6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104FF919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00F212C6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258DBC9F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4B95AD80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46740776" w14:textId="77777777" w:rsidR="004123A0" w:rsidRPr="004123A0" w:rsidRDefault="004123A0" w:rsidP="004123A0">
      <w:pPr>
        <w:rPr>
          <w:rFonts w:ascii="Times New Roman" w:hAnsi="Times New Roman" w:cs="Times New Roman"/>
          <w:b/>
        </w:rPr>
      </w:pPr>
    </w:p>
    <w:p w14:paraId="7C4A6528" w14:textId="42516875" w:rsidR="004123A0" w:rsidRPr="004123A0" w:rsidRDefault="004123A0" w:rsidP="004123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4123A0">
        <w:rPr>
          <w:rFonts w:ascii="Times New Roman" w:hAnsi="Times New Roman" w:cs="Times New Roman"/>
          <w:b/>
          <w:sz w:val="32"/>
          <w:szCs w:val="32"/>
        </w:rPr>
        <w:lastRenderedPageBreak/>
        <w:t>Үйл ажиллагааны эрсдэлийн төлөвлөгөө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4123A0" w:rsidRPr="004123A0" w14:paraId="59188A3D" w14:textId="77777777" w:rsidTr="008B2179">
        <w:trPr>
          <w:cantSplit/>
          <w:trHeight w:val="408"/>
        </w:trPr>
        <w:tc>
          <w:tcPr>
            <w:tcW w:w="1129" w:type="dxa"/>
            <w:shd w:val="clear" w:color="auto" w:fill="8EAADB" w:themeFill="accent1" w:themeFillTint="99"/>
            <w:textDirection w:val="btLr"/>
            <w:vAlign w:val="center"/>
          </w:tcPr>
          <w:p w14:paraId="4D179C07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1" w:type="dxa"/>
            <w:vAlign w:val="center"/>
          </w:tcPr>
          <w:p w14:paraId="1DC992FC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Эрсдэлийн удирдлага</w:t>
            </w:r>
          </w:p>
        </w:tc>
      </w:tr>
      <w:tr w:rsidR="004123A0" w:rsidRPr="004123A0" w14:paraId="6E10F9A8" w14:textId="77777777" w:rsidTr="008B2179">
        <w:trPr>
          <w:cantSplit/>
          <w:trHeight w:val="900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1D7C24F2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Эдийн засгийн эрсдэл</w:t>
            </w:r>
          </w:p>
        </w:tc>
        <w:tc>
          <w:tcPr>
            <w:tcW w:w="8221" w:type="dxa"/>
            <w:vAlign w:val="center"/>
          </w:tcPr>
          <w:p w14:paraId="3EA22923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Эдийн засгийн байдалтай уялдсан бизнес төлөвлөгөөг боловсруулах</w:t>
            </w:r>
          </w:p>
        </w:tc>
      </w:tr>
      <w:tr w:rsidR="004123A0" w:rsidRPr="004123A0" w14:paraId="3B289492" w14:textId="77777777" w:rsidTr="008B2179">
        <w:trPr>
          <w:cantSplit/>
          <w:trHeight w:val="910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1C4688FC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1" w:type="dxa"/>
            <w:vAlign w:val="center"/>
          </w:tcPr>
          <w:p w14:paraId="5901F533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Санхүүжилт, хөрөнгө зарцуулалтын асуудлыг нэн тэргүүнд шийдвэрлэх</w:t>
            </w:r>
          </w:p>
        </w:tc>
      </w:tr>
      <w:tr w:rsidR="004123A0" w:rsidRPr="004123A0" w14:paraId="294FD1D2" w14:textId="77777777" w:rsidTr="008B2179">
        <w:trPr>
          <w:cantSplit/>
          <w:trHeight w:val="425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1ED88639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Үйл ажиллагааны эрсдэл</w:t>
            </w:r>
          </w:p>
        </w:tc>
        <w:tc>
          <w:tcPr>
            <w:tcW w:w="8221" w:type="dxa"/>
            <w:vAlign w:val="center"/>
          </w:tcPr>
          <w:p w14:paraId="73A202BC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Үйл ажиллагаандаа хэрэлэгчийн мэдээллийн нууцлалыг сайтар сахих</w:t>
            </w:r>
          </w:p>
        </w:tc>
      </w:tr>
      <w:tr w:rsidR="004123A0" w:rsidRPr="004123A0" w14:paraId="6C50AE2D" w14:textId="77777777" w:rsidTr="008B2179">
        <w:trPr>
          <w:cantSplit/>
          <w:trHeight w:val="570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763131F0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1" w:type="dxa"/>
            <w:vAlign w:val="center"/>
          </w:tcPr>
          <w:p w14:paraId="5855BD6C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Системийн уналт доголдолд уян хатан байхаар зохицуулах</w:t>
            </w:r>
          </w:p>
        </w:tc>
      </w:tr>
      <w:tr w:rsidR="004123A0" w:rsidRPr="004123A0" w14:paraId="7D0E033E" w14:textId="77777777" w:rsidTr="008B2179">
        <w:trPr>
          <w:cantSplit/>
          <w:trHeight w:val="480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6E36DB4C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1" w:type="dxa"/>
            <w:vAlign w:val="center"/>
          </w:tcPr>
          <w:p w14:paraId="4987E2A0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Байнгийн ажиллагааг хангахын тулд найдвартай технологи ашиглах</w:t>
            </w:r>
          </w:p>
        </w:tc>
      </w:tr>
      <w:tr w:rsidR="004123A0" w:rsidRPr="004123A0" w14:paraId="089F92C1" w14:textId="77777777" w:rsidTr="008B2179">
        <w:trPr>
          <w:cantSplit/>
          <w:trHeight w:val="612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1D9F49AD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1" w:type="dxa"/>
            <w:vAlign w:val="center"/>
          </w:tcPr>
          <w:p w14:paraId="02DA37E9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Гадны халдлагад тэсвэртэй уян хатан байдлаар зохицуулах</w:t>
            </w:r>
          </w:p>
        </w:tc>
      </w:tr>
      <w:tr w:rsidR="004123A0" w:rsidRPr="004123A0" w14:paraId="4493EC55" w14:textId="77777777" w:rsidTr="008B2179">
        <w:trPr>
          <w:cantSplit/>
          <w:trHeight w:val="1395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6CCDB6ED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 xml:space="preserve">Хууль эрх зүйн эрсдэл </w:t>
            </w:r>
          </w:p>
        </w:tc>
        <w:tc>
          <w:tcPr>
            <w:tcW w:w="8221" w:type="dxa"/>
            <w:vAlign w:val="center"/>
          </w:tcPr>
          <w:p w14:paraId="2AEF9781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Хэрэглэгчийн мэдээллийн нууцлалыг анхаарах</w:t>
            </w:r>
          </w:p>
        </w:tc>
      </w:tr>
      <w:tr w:rsidR="004123A0" w:rsidRPr="004123A0" w14:paraId="37273CB5" w14:textId="77777777" w:rsidTr="008B2179">
        <w:trPr>
          <w:cantSplit/>
          <w:trHeight w:val="1125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79DE42C1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1" w:type="dxa"/>
            <w:vAlign w:val="center"/>
          </w:tcPr>
          <w:p w14:paraId="5EB3EA0F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Хэрэглэгчийн эрх ашигт тааруулан системийн шинэчлэлтийг боловсруулах</w:t>
            </w:r>
          </w:p>
        </w:tc>
      </w:tr>
      <w:tr w:rsidR="004123A0" w:rsidRPr="004123A0" w14:paraId="2C344E8E" w14:textId="77777777" w:rsidTr="008B2179">
        <w:trPr>
          <w:cantSplit/>
          <w:trHeight w:val="870"/>
        </w:trPr>
        <w:tc>
          <w:tcPr>
            <w:tcW w:w="1129" w:type="dxa"/>
            <w:vMerge w:val="restart"/>
            <w:shd w:val="clear" w:color="auto" w:fill="8EAADB" w:themeFill="accent1" w:themeFillTint="99"/>
            <w:textDirection w:val="btLr"/>
            <w:vAlign w:val="center"/>
          </w:tcPr>
          <w:p w14:paraId="7750BDDF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Нэр хүндийн эрсдэл</w:t>
            </w:r>
          </w:p>
        </w:tc>
        <w:tc>
          <w:tcPr>
            <w:tcW w:w="8221" w:type="dxa"/>
            <w:vAlign w:val="center"/>
          </w:tcPr>
          <w:p w14:paraId="6F911735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Системийн үйл ажиллагаанд онцгой анхаарч, хэрэглэгчдийн гомдлыг цаг тухайд нь шийдвэрлэх боломжийг ирэлхийлэх</w:t>
            </w:r>
          </w:p>
        </w:tc>
      </w:tr>
      <w:tr w:rsidR="004123A0" w:rsidRPr="004123A0" w14:paraId="59FC519A" w14:textId="77777777" w:rsidTr="008B2179">
        <w:trPr>
          <w:cantSplit/>
          <w:trHeight w:val="807"/>
        </w:trPr>
        <w:tc>
          <w:tcPr>
            <w:tcW w:w="1129" w:type="dxa"/>
            <w:vMerge/>
            <w:shd w:val="clear" w:color="auto" w:fill="8EAADB" w:themeFill="accent1" w:themeFillTint="99"/>
            <w:textDirection w:val="btLr"/>
            <w:vAlign w:val="center"/>
          </w:tcPr>
          <w:p w14:paraId="6DB672A1" w14:textId="77777777" w:rsidR="004123A0" w:rsidRPr="004123A0" w:rsidRDefault="004123A0" w:rsidP="008B217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1" w:type="dxa"/>
            <w:vAlign w:val="center"/>
          </w:tcPr>
          <w:p w14:paraId="0B586A8D" w14:textId="77777777" w:rsidR="004123A0" w:rsidRPr="004123A0" w:rsidRDefault="004123A0" w:rsidP="008B2179">
            <w:pPr>
              <w:rPr>
                <w:rFonts w:ascii="Times New Roman" w:hAnsi="Times New Roman" w:cs="Times New Roman"/>
              </w:rPr>
            </w:pPr>
            <w:r w:rsidRPr="004123A0">
              <w:rPr>
                <w:rFonts w:ascii="Times New Roman" w:hAnsi="Times New Roman" w:cs="Times New Roman"/>
              </w:rPr>
              <w:t>Систем нь өөрийн чанартай хурдан аюулгүй хүртээмжтэй байдлаараа ялгарах мөн түүнийгээ хэрэглэгчдэд илүү мэдрүүлэх</w:t>
            </w:r>
          </w:p>
        </w:tc>
      </w:tr>
    </w:tbl>
    <w:p w14:paraId="2B978B1A" w14:textId="611FAB6C" w:rsidR="00D855A6" w:rsidRPr="004123A0" w:rsidRDefault="00D855A6" w:rsidP="00D855A6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sectPr w:rsidR="00D855A6" w:rsidRPr="004123A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549F3" w14:textId="77777777" w:rsidR="00846192" w:rsidRDefault="00846192" w:rsidP="004123A0">
      <w:pPr>
        <w:spacing w:line="240" w:lineRule="auto"/>
      </w:pPr>
      <w:r>
        <w:separator/>
      </w:r>
    </w:p>
  </w:endnote>
  <w:endnote w:type="continuationSeparator" w:id="0">
    <w:p w14:paraId="6CBDF222" w14:textId="77777777" w:rsidR="00846192" w:rsidRDefault="00846192" w:rsidP="00412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704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7D83D" w14:textId="10D959C1" w:rsidR="004123A0" w:rsidRDefault="00412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E73B18" w14:textId="77777777" w:rsidR="004123A0" w:rsidRDefault="00412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06134" w14:textId="77777777" w:rsidR="00846192" w:rsidRDefault="00846192" w:rsidP="004123A0">
      <w:pPr>
        <w:spacing w:line="240" w:lineRule="auto"/>
      </w:pPr>
      <w:r>
        <w:separator/>
      </w:r>
    </w:p>
  </w:footnote>
  <w:footnote w:type="continuationSeparator" w:id="0">
    <w:p w14:paraId="2DA8F11F" w14:textId="77777777" w:rsidR="00846192" w:rsidRDefault="00846192" w:rsidP="004123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BF7"/>
    <w:multiLevelType w:val="hybridMultilevel"/>
    <w:tmpl w:val="606C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6F5"/>
    <w:multiLevelType w:val="multilevel"/>
    <w:tmpl w:val="30CC5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2D4BD1"/>
    <w:multiLevelType w:val="multilevel"/>
    <w:tmpl w:val="C3EA9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5B4E2C"/>
    <w:multiLevelType w:val="multilevel"/>
    <w:tmpl w:val="42C4D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C55A58"/>
    <w:multiLevelType w:val="hybridMultilevel"/>
    <w:tmpl w:val="BCBA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A751B"/>
    <w:multiLevelType w:val="multilevel"/>
    <w:tmpl w:val="D4CE83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F628D7"/>
    <w:multiLevelType w:val="multilevel"/>
    <w:tmpl w:val="E9CCE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510D65"/>
    <w:multiLevelType w:val="multilevel"/>
    <w:tmpl w:val="3D7414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32"/>
      </w:rPr>
    </w:lvl>
  </w:abstractNum>
  <w:abstractNum w:abstractNumId="8" w15:restartNumberingAfterBreak="0">
    <w:nsid w:val="3E6D1101"/>
    <w:multiLevelType w:val="hybridMultilevel"/>
    <w:tmpl w:val="AC0000A2"/>
    <w:lvl w:ilvl="0" w:tplc="B5A624B2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12D0B"/>
    <w:multiLevelType w:val="multilevel"/>
    <w:tmpl w:val="6E2619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4701D8C"/>
    <w:multiLevelType w:val="multilevel"/>
    <w:tmpl w:val="603897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82B4420"/>
    <w:multiLevelType w:val="multilevel"/>
    <w:tmpl w:val="648A8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C11DBB"/>
    <w:multiLevelType w:val="multilevel"/>
    <w:tmpl w:val="6A2A5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16698A"/>
    <w:multiLevelType w:val="multilevel"/>
    <w:tmpl w:val="20E2E6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D435F40"/>
    <w:multiLevelType w:val="multilevel"/>
    <w:tmpl w:val="D8FAA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3170CC"/>
    <w:multiLevelType w:val="hybridMultilevel"/>
    <w:tmpl w:val="BCF0D8CA"/>
    <w:lvl w:ilvl="0" w:tplc="3E98E182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71FC6"/>
    <w:multiLevelType w:val="multilevel"/>
    <w:tmpl w:val="733E8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0E6ABF"/>
    <w:multiLevelType w:val="hybridMultilevel"/>
    <w:tmpl w:val="ADE83D9A"/>
    <w:lvl w:ilvl="0" w:tplc="F168DC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B68FD"/>
    <w:multiLevelType w:val="multilevel"/>
    <w:tmpl w:val="E31071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F187F44"/>
    <w:multiLevelType w:val="hybridMultilevel"/>
    <w:tmpl w:val="1876B594"/>
    <w:lvl w:ilvl="0" w:tplc="FECC6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5"/>
  </w:num>
  <w:num w:numId="6">
    <w:abstractNumId w:val="18"/>
  </w:num>
  <w:num w:numId="7">
    <w:abstractNumId w:val="16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12"/>
  </w:num>
  <w:num w:numId="13">
    <w:abstractNumId w:val="1"/>
  </w:num>
  <w:num w:numId="14">
    <w:abstractNumId w:val="0"/>
  </w:num>
  <w:num w:numId="15">
    <w:abstractNumId w:val="4"/>
  </w:num>
  <w:num w:numId="16">
    <w:abstractNumId w:val="15"/>
  </w:num>
  <w:num w:numId="17">
    <w:abstractNumId w:val="8"/>
  </w:num>
  <w:num w:numId="18">
    <w:abstractNumId w:val="17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5C"/>
    <w:rsid w:val="004123A0"/>
    <w:rsid w:val="004E5C64"/>
    <w:rsid w:val="00511569"/>
    <w:rsid w:val="00546F7F"/>
    <w:rsid w:val="00695C9A"/>
    <w:rsid w:val="00806859"/>
    <w:rsid w:val="00846192"/>
    <w:rsid w:val="008D48FA"/>
    <w:rsid w:val="00B8157A"/>
    <w:rsid w:val="00C34CCB"/>
    <w:rsid w:val="00D855A6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9A7EA"/>
  <w15:chartTrackingRefBased/>
  <w15:docId w15:val="{19696DD9-D50D-457F-B795-955F799E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5C5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5C"/>
    <w:pPr>
      <w:ind w:left="720"/>
      <w:contextualSpacing/>
    </w:pPr>
  </w:style>
  <w:style w:type="table" w:customStyle="1" w:styleId="GridTable5Dark-Accent21">
    <w:name w:val="Grid Table 5 Dark - Accent 21"/>
    <w:basedOn w:val="TableNormal"/>
    <w:uiPriority w:val="50"/>
    <w:rsid w:val="00F65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F65C5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lid-translation">
    <w:name w:val="tlid-translation"/>
    <w:basedOn w:val="DefaultParagraphFont"/>
    <w:rsid w:val="00D855A6"/>
  </w:style>
  <w:style w:type="table" w:styleId="TableGrid">
    <w:name w:val="Table Grid"/>
    <w:basedOn w:val="TableNormal"/>
    <w:uiPriority w:val="39"/>
    <w:rsid w:val="00D8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3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A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123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A0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Бат-Эрдэнэ Батжаргал</dc:creator>
  <cp:keywords/>
  <dc:description/>
  <cp:lastModifiedBy>Windows User</cp:lastModifiedBy>
  <cp:revision>2</cp:revision>
  <dcterms:created xsi:type="dcterms:W3CDTF">2020-03-25T14:00:00Z</dcterms:created>
  <dcterms:modified xsi:type="dcterms:W3CDTF">2020-03-25T14:00:00Z</dcterms:modified>
</cp:coreProperties>
</file>