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8EC5A" w14:textId="256C3A2C" w:rsidR="00B90D5A" w:rsidRDefault="00B90D5A" w:rsidP="00B90D5A">
      <w:pPr>
        <w:jc w:val="both"/>
        <w:rPr>
          <w:rFonts w:ascii="Arial" w:hAnsi="Arial" w:cs="Arial"/>
          <w:b/>
          <w:sz w:val="28"/>
          <w:szCs w:val="28"/>
          <w:lang w:val="mn-MN"/>
        </w:rPr>
      </w:pPr>
      <w:r>
        <w:rPr>
          <w:rFonts w:ascii="Arial" w:hAnsi="Arial" w:cs="Arial"/>
          <w:b/>
          <w:sz w:val="28"/>
          <w:szCs w:val="28"/>
          <w:lang w:val="mn-MN"/>
        </w:rPr>
        <w:t>Эрсдэл түүнийг тодорхойлох</w:t>
      </w:r>
    </w:p>
    <w:p w14:paraId="7E3D6BA6" w14:textId="1B6FC07E" w:rsidR="00B90D5A" w:rsidRDefault="00B90D5A" w:rsidP="00B90D5A">
      <w:pPr>
        <w:ind w:firstLine="720"/>
        <w:jc w:val="both"/>
        <w:rPr>
          <w:rFonts w:ascii="Arial" w:hAnsi="Arial" w:cs="Arial"/>
          <w:bCs/>
          <w:sz w:val="22"/>
          <w:szCs w:val="22"/>
          <w:lang w:val="mn-MN"/>
        </w:rPr>
      </w:pPr>
      <w:r w:rsidRPr="00B90D5A">
        <w:rPr>
          <w:rFonts w:ascii="Arial" w:hAnsi="Arial" w:cs="Arial"/>
          <w:bCs/>
          <w:sz w:val="22"/>
          <w:szCs w:val="22"/>
          <w:lang w:val="mn-MN"/>
        </w:rPr>
        <w:t>Улс гүрэн, байгууллагын үйл ажиллагаанд алдагдал , хохирол үүсэж болзошгүй үйл явцыг эрсдэл мөн эрсдэл нь ЭРСДЭЛ болон ТОДОРХОЙГҮЙ БАЙДАЛТАЙ салшгүй холбоотой.</w:t>
      </w:r>
    </w:p>
    <w:p w14:paraId="293870AD" w14:textId="77777777" w:rsidR="00B71F72" w:rsidRPr="00B90D5A" w:rsidRDefault="00B71F72" w:rsidP="00B90D5A">
      <w:pPr>
        <w:ind w:firstLine="720"/>
        <w:jc w:val="both"/>
        <w:rPr>
          <w:rFonts w:ascii="Arial" w:hAnsi="Arial" w:cs="Arial"/>
          <w:bCs/>
          <w:sz w:val="22"/>
          <w:szCs w:val="22"/>
          <w:lang w:val="mn-MN"/>
        </w:rPr>
      </w:pPr>
    </w:p>
    <w:p w14:paraId="1557CB20" w14:textId="77777777" w:rsidR="00B90D5A" w:rsidRPr="00B90D5A" w:rsidRDefault="00B90D5A" w:rsidP="00B90D5A">
      <w:pPr>
        <w:ind w:firstLine="720"/>
        <w:jc w:val="both"/>
        <w:rPr>
          <w:rFonts w:ascii="Arial" w:hAnsi="Arial" w:cs="Arial"/>
          <w:bCs/>
          <w:sz w:val="22"/>
          <w:szCs w:val="22"/>
          <w:lang w:val="mn-MN"/>
        </w:rPr>
      </w:pPr>
      <w:r w:rsidRPr="00B90D5A">
        <w:rPr>
          <w:rFonts w:ascii="Arial" w:hAnsi="Arial" w:cs="Arial"/>
          <w:bCs/>
          <w:sz w:val="22"/>
          <w:szCs w:val="22"/>
          <w:lang w:val="mn-MN"/>
        </w:rPr>
        <w:t>Монгол улсын даатгалын тухай хуулинд эрсдэлийг даатгалд хамрагдсан зүйлд хохирол учруулж болох нөхцөл ба орчин гэж тодорхойлсон байдаг.</w:t>
      </w:r>
    </w:p>
    <w:p w14:paraId="175F3DA2" w14:textId="75475A96" w:rsidR="00B90D5A" w:rsidRDefault="00B90D5A" w:rsidP="00B90D5A">
      <w:pPr>
        <w:jc w:val="both"/>
        <w:rPr>
          <w:rFonts w:ascii="Arial" w:hAnsi="Arial" w:cs="Arial"/>
          <w:sz w:val="22"/>
          <w:szCs w:val="22"/>
          <w:lang w:val="mn-MN"/>
        </w:rPr>
      </w:pPr>
      <w:r w:rsidRPr="00B90D5A">
        <w:rPr>
          <w:rFonts w:ascii="Arial" w:hAnsi="Arial" w:cs="Arial"/>
          <w:bCs/>
          <w:sz w:val="22"/>
          <w:szCs w:val="22"/>
          <w:lang w:val="mn-MN"/>
        </w:rPr>
        <w:t>Тэгвэл эрсдэл гэдэг нь аливаа үйл ажиллагааны эцэс дэх таагүй үр дүнгийн магадлалын тархалт гэж ойлгож болно.</w:t>
      </w:r>
      <w:r>
        <w:rPr>
          <w:rFonts w:ascii="Arial" w:hAnsi="Arial" w:cs="Arial"/>
          <w:bCs/>
          <w:sz w:val="22"/>
          <w:szCs w:val="22"/>
          <w:lang w:val="mn-MN"/>
        </w:rPr>
        <w:t xml:space="preserve"> </w:t>
      </w:r>
      <w:r w:rsidRPr="00B90D5A">
        <w:rPr>
          <w:rFonts w:ascii="Arial" w:hAnsi="Arial" w:cs="Arial"/>
          <w:sz w:val="22"/>
          <w:szCs w:val="22"/>
          <w:lang w:val="mn-MN"/>
        </w:rPr>
        <w:t>Эрсдэл гэдэг нь тодорхой өгөгдсөн нөхцөлд тодорхой хугацаанд бий болж болох үр дүнгийн өөрчлөлтийн тоо хэмжээ юм.</w:t>
      </w:r>
    </w:p>
    <w:p w14:paraId="4D6B201B" w14:textId="77777777" w:rsidR="00B71F72" w:rsidRPr="00B90D5A" w:rsidRDefault="00B71F72" w:rsidP="00B90D5A">
      <w:pPr>
        <w:jc w:val="both"/>
        <w:rPr>
          <w:rFonts w:ascii="Arial" w:hAnsi="Arial" w:cs="Arial"/>
          <w:bCs/>
          <w:sz w:val="22"/>
          <w:szCs w:val="22"/>
          <w:lang w:val="mn-MN"/>
        </w:rPr>
      </w:pPr>
    </w:p>
    <w:p w14:paraId="15EEA938" w14:textId="25773190" w:rsidR="00B90D5A" w:rsidRDefault="00B90D5A" w:rsidP="00B90D5A">
      <w:pPr>
        <w:ind w:firstLine="720"/>
        <w:rPr>
          <w:rFonts w:ascii="Arial" w:hAnsi="Arial" w:cs="Arial"/>
          <w:sz w:val="22"/>
          <w:szCs w:val="22"/>
          <w:lang w:val="mn-MN"/>
        </w:rPr>
      </w:pPr>
      <w:r w:rsidRPr="00B90D5A">
        <w:rPr>
          <w:rFonts w:ascii="Arial" w:hAnsi="Arial" w:cs="Arial"/>
          <w:sz w:val="22"/>
          <w:szCs w:val="22"/>
          <w:lang w:val="mn-MN"/>
        </w:rPr>
        <w:t xml:space="preserve">Эрсдэл нь </w:t>
      </w:r>
      <w:r>
        <w:rPr>
          <w:rFonts w:ascii="Arial" w:hAnsi="Arial" w:cs="Arial"/>
          <w:sz w:val="22"/>
          <w:szCs w:val="22"/>
          <w:lang w:val="mn-MN"/>
        </w:rPr>
        <w:t>а</w:t>
      </w:r>
      <w:r w:rsidRPr="00B90D5A">
        <w:rPr>
          <w:rFonts w:ascii="Arial" w:hAnsi="Arial" w:cs="Arial"/>
          <w:sz w:val="22"/>
          <w:szCs w:val="22"/>
          <w:lang w:val="mn-MN"/>
        </w:rPr>
        <w:t>нгли хэлний RISK орос хэлний РИСК гэсэн үгийн 1994 оноос эхлэн эрсдэл гэж орчуулан хэрэглэх болсон. RIDSIKON гэсэн грек үг, RIDSICARE гэсэн латин үг. Утгачилвал энэ нь хадны завсар хавчуулах гэсэн утгатай.</w:t>
      </w:r>
      <w:r w:rsidR="00B71F72">
        <w:rPr>
          <w:rFonts w:ascii="Arial" w:hAnsi="Arial" w:cs="Arial"/>
          <w:sz w:val="22"/>
          <w:szCs w:val="22"/>
          <w:lang w:val="mn-MN"/>
        </w:rPr>
        <w:t xml:space="preserve"> </w:t>
      </w:r>
      <w:r w:rsidR="00B71F72" w:rsidRPr="00B71F72">
        <w:rPr>
          <w:rFonts w:ascii="Arial" w:hAnsi="Arial" w:cs="Arial"/>
          <w:sz w:val="22"/>
          <w:szCs w:val="22"/>
          <w:lang w:val="mn-MN"/>
        </w:rPr>
        <w:t>Ажилтанд аюулыг танин мэдэх, илрүүлэх,эрсдэлийг үнэлэх, хянах, бууруулах ур чадваролгож, эерэг хандлага, зөв арга барил эзэмшүүлж,ажлын байрны эрсдэлийг удирдах цогц мэдлэголгож хэрэгжүүлэхэд оршино.</w:t>
      </w:r>
    </w:p>
    <w:p w14:paraId="68B5202D" w14:textId="7070F4E1" w:rsidR="00B71F72" w:rsidRDefault="00B71F72" w:rsidP="00B90D5A">
      <w:pPr>
        <w:ind w:firstLine="720"/>
        <w:rPr>
          <w:rFonts w:ascii="Arial" w:hAnsi="Arial" w:cs="Arial"/>
          <w:sz w:val="22"/>
          <w:szCs w:val="22"/>
          <w:lang w:val="mn-MN"/>
        </w:rPr>
      </w:pPr>
      <w:r>
        <w:rPr>
          <w:rFonts w:ascii="Arial" w:hAnsi="Arial" w:cs="Arial"/>
          <w:sz w:val="22"/>
          <w:szCs w:val="22"/>
          <w:lang w:val="mn-MN"/>
        </w:rPr>
        <w:t xml:space="preserve">Эрсдэлийн төрөл: </w:t>
      </w:r>
    </w:p>
    <w:p w14:paraId="43EF1D4F" w14:textId="1D2FAE07" w:rsidR="00B71F72" w:rsidRDefault="00B71F72" w:rsidP="00B71F72">
      <w:pPr>
        <w:pStyle w:val="ListParagraph"/>
        <w:numPr>
          <w:ilvl w:val="0"/>
          <w:numId w:val="2"/>
        </w:numPr>
        <w:rPr>
          <w:rFonts w:ascii="Arial" w:hAnsi="Arial" w:cs="Arial"/>
          <w:sz w:val="22"/>
          <w:szCs w:val="22"/>
          <w:lang w:val="mn-MN"/>
        </w:rPr>
      </w:pPr>
      <w:r w:rsidRPr="00B71F72">
        <w:rPr>
          <w:rFonts w:ascii="Arial" w:hAnsi="Arial" w:cs="Arial"/>
          <w:sz w:val="22"/>
          <w:szCs w:val="22"/>
          <w:lang w:val="mn-MN"/>
        </w:rPr>
        <w:t>Б</w:t>
      </w:r>
      <w:r w:rsidRPr="00B71F72">
        <w:rPr>
          <w:rFonts w:ascii="Arial" w:hAnsi="Arial" w:cs="Arial"/>
          <w:sz w:val="22"/>
          <w:szCs w:val="22"/>
          <w:lang w:val="mn-MN"/>
        </w:rPr>
        <w:t>изнесийн</w:t>
      </w:r>
    </w:p>
    <w:p w14:paraId="386F5A11" w14:textId="7D8FFA98" w:rsidR="00B71F72" w:rsidRDefault="00B71F72" w:rsidP="00B71F72">
      <w:pPr>
        <w:pStyle w:val="ListParagraph"/>
        <w:numPr>
          <w:ilvl w:val="0"/>
          <w:numId w:val="2"/>
        </w:numPr>
        <w:rPr>
          <w:rFonts w:ascii="Arial" w:hAnsi="Arial" w:cs="Arial"/>
          <w:sz w:val="22"/>
          <w:szCs w:val="22"/>
          <w:lang w:val="mn-MN"/>
        </w:rPr>
      </w:pPr>
      <w:r>
        <w:rPr>
          <w:rFonts w:ascii="Arial" w:hAnsi="Arial" w:cs="Arial"/>
          <w:sz w:val="22"/>
          <w:szCs w:val="22"/>
          <w:lang w:val="mn-MN"/>
        </w:rPr>
        <w:t>Ц</w:t>
      </w:r>
      <w:r w:rsidRPr="00B71F72">
        <w:rPr>
          <w:rFonts w:ascii="Arial" w:hAnsi="Arial" w:cs="Arial"/>
          <w:sz w:val="22"/>
          <w:szCs w:val="22"/>
          <w:lang w:val="mn-MN"/>
        </w:rPr>
        <w:t>эвэр эрсдэл</w:t>
      </w:r>
    </w:p>
    <w:p w14:paraId="178D98AD" w14:textId="21BB9024" w:rsidR="00B71F72" w:rsidRDefault="00B71F72" w:rsidP="00B71F72">
      <w:pPr>
        <w:ind w:firstLine="720"/>
        <w:rPr>
          <w:rFonts w:ascii="Arial" w:hAnsi="Arial" w:cs="Arial"/>
          <w:sz w:val="22"/>
          <w:szCs w:val="22"/>
          <w:lang w:val="mn-MN"/>
        </w:rPr>
      </w:pPr>
      <w:r w:rsidRPr="00B71F72">
        <w:rPr>
          <w:rFonts w:ascii="Arial" w:hAnsi="Arial" w:cs="Arial"/>
          <w:sz w:val="22"/>
          <w:szCs w:val="22"/>
          <w:lang w:val="mn-MN"/>
        </w:rPr>
        <w:t>Эрсдэл бол тэр чигээрээ сөрөг зүйл гэсэн үг биш юм. Үүнийг залруулах боломж ч мөн байдаг. Эрсдлийн менежментийн гол түлхүүр нь тохиолдож болох нийт эрсдлийг тогтоон тэдгээрийг төслийн гүйцэтгэлд саармаг эсвэл эерэг нөлөө үзүүлэх талаас нь удирдах юм.</w:t>
      </w:r>
    </w:p>
    <w:p w14:paraId="7F297F97"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 xml:space="preserve">Эрсдийг төлөвлөхөд дараах үндсэн баримт бичгүүдийг ашигладаг. </w:t>
      </w:r>
    </w:p>
    <w:p w14:paraId="7610B093" w14:textId="77777777" w:rsidR="00B71F72" w:rsidRPr="00B71F72" w:rsidRDefault="00B71F72" w:rsidP="00B71F72">
      <w:pPr>
        <w:numPr>
          <w:ilvl w:val="0"/>
          <w:numId w:val="3"/>
        </w:numPr>
        <w:rPr>
          <w:rFonts w:ascii="Arial" w:hAnsi="Arial" w:cs="Arial"/>
          <w:sz w:val="22"/>
          <w:szCs w:val="22"/>
          <w:lang w:val="mn-MN"/>
        </w:rPr>
      </w:pPr>
      <w:r w:rsidRPr="00B71F72">
        <w:rPr>
          <w:rFonts w:ascii="Arial" w:hAnsi="Arial" w:cs="Arial"/>
          <w:sz w:val="22"/>
          <w:szCs w:val="22"/>
          <w:lang w:val="mn-MN"/>
        </w:rPr>
        <w:t>Төслийн чартер</w:t>
      </w:r>
    </w:p>
    <w:p w14:paraId="7952E6D1" w14:textId="77777777" w:rsidR="00B71F72" w:rsidRPr="00B71F72" w:rsidRDefault="00B71F72" w:rsidP="00B71F72">
      <w:pPr>
        <w:numPr>
          <w:ilvl w:val="0"/>
          <w:numId w:val="3"/>
        </w:numPr>
        <w:rPr>
          <w:rFonts w:ascii="Arial" w:hAnsi="Arial" w:cs="Arial"/>
          <w:sz w:val="22"/>
          <w:szCs w:val="22"/>
          <w:lang w:val="mn-MN"/>
        </w:rPr>
      </w:pPr>
      <w:r w:rsidRPr="00B71F72">
        <w:rPr>
          <w:rFonts w:ascii="Arial" w:hAnsi="Arial" w:cs="Arial"/>
          <w:sz w:val="22"/>
          <w:szCs w:val="22"/>
          <w:lang w:val="mn-MN"/>
        </w:rPr>
        <w:t>Байгууллагын бодлого, чиг шугам</w:t>
      </w:r>
    </w:p>
    <w:p w14:paraId="7C6DE405" w14:textId="77777777" w:rsidR="00B71F72" w:rsidRPr="00B71F72" w:rsidRDefault="00B71F72" w:rsidP="00B71F72">
      <w:pPr>
        <w:numPr>
          <w:ilvl w:val="0"/>
          <w:numId w:val="3"/>
        </w:numPr>
        <w:rPr>
          <w:rFonts w:ascii="Arial" w:hAnsi="Arial" w:cs="Arial"/>
          <w:sz w:val="22"/>
          <w:szCs w:val="22"/>
          <w:lang w:val="mn-MN"/>
        </w:rPr>
      </w:pPr>
      <w:r w:rsidRPr="00B71F72">
        <w:rPr>
          <w:rFonts w:ascii="Arial" w:hAnsi="Arial" w:cs="Arial"/>
          <w:sz w:val="22"/>
          <w:szCs w:val="22"/>
          <w:lang w:val="mn-MN"/>
        </w:rPr>
        <w:t xml:space="preserve">Гэрээний баримт бичгүүд </w:t>
      </w:r>
      <w:r w:rsidRPr="00B71F72">
        <w:rPr>
          <w:rFonts w:ascii="Arial" w:hAnsi="Arial" w:cs="Arial"/>
          <w:sz w:val="22"/>
          <w:szCs w:val="22"/>
        </w:rPr>
        <w:t>(</w:t>
      </w:r>
      <w:r w:rsidRPr="00B71F72">
        <w:rPr>
          <w:rFonts w:ascii="Arial" w:hAnsi="Arial" w:cs="Arial"/>
          <w:sz w:val="22"/>
          <w:szCs w:val="22"/>
          <w:lang w:val="mn-MN"/>
        </w:rPr>
        <w:t>хэрэв төслийг гаднын байгууллагын захиалгаар хэрэгжүүлж байгаа бол ажлын тодорхойлолт болон бусад холбогдох баримт бичгүүд</w:t>
      </w:r>
      <w:r w:rsidRPr="00B71F72">
        <w:rPr>
          <w:rFonts w:ascii="Arial" w:hAnsi="Arial" w:cs="Arial"/>
          <w:sz w:val="22"/>
          <w:szCs w:val="22"/>
        </w:rPr>
        <w:t>)</w:t>
      </w:r>
    </w:p>
    <w:p w14:paraId="1ED19D03" w14:textId="77777777" w:rsidR="00B71F72" w:rsidRPr="00B71F72" w:rsidRDefault="00B71F72" w:rsidP="00B71F72">
      <w:pPr>
        <w:numPr>
          <w:ilvl w:val="0"/>
          <w:numId w:val="3"/>
        </w:numPr>
        <w:rPr>
          <w:rFonts w:ascii="Arial" w:hAnsi="Arial" w:cs="Arial"/>
          <w:sz w:val="22"/>
          <w:szCs w:val="22"/>
          <w:lang w:val="mn-MN"/>
        </w:rPr>
      </w:pPr>
      <w:r w:rsidRPr="00B71F72">
        <w:rPr>
          <w:rFonts w:ascii="Arial" w:hAnsi="Arial" w:cs="Arial"/>
          <w:sz w:val="22"/>
          <w:szCs w:val="22"/>
          <w:lang w:val="mn-MN"/>
        </w:rPr>
        <w:t xml:space="preserve">Ажлын нарийвчилсан бүтэц </w:t>
      </w:r>
      <w:r w:rsidRPr="00B71F72">
        <w:rPr>
          <w:rFonts w:ascii="Arial" w:hAnsi="Arial" w:cs="Arial"/>
          <w:sz w:val="22"/>
          <w:szCs w:val="22"/>
        </w:rPr>
        <w:t>( АНБ)</w:t>
      </w:r>
    </w:p>
    <w:p w14:paraId="6A81460B" w14:textId="77777777" w:rsidR="00B71F72" w:rsidRPr="00B71F72" w:rsidRDefault="00B71F72" w:rsidP="00B71F72">
      <w:pPr>
        <w:numPr>
          <w:ilvl w:val="0"/>
          <w:numId w:val="3"/>
        </w:numPr>
        <w:rPr>
          <w:rFonts w:ascii="Arial" w:hAnsi="Arial" w:cs="Arial"/>
          <w:sz w:val="22"/>
          <w:szCs w:val="22"/>
          <w:lang w:val="mn-MN"/>
        </w:rPr>
      </w:pPr>
      <w:r w:rsidRPr="00B71F72">
        <w:rPr>
          <w:rFonts w:ascii="Arial" w:hAnsi="Arial" w:cs="Arial"/>
          <w:sz w:val="22"/>
          <w:szCs w:val="22"/>
          <w:lang w:val="mn-MN"/>
        </w:rPr>
        <w:t>Сүлжээ анализ</w:t>
      </w:r>
    </w:p>
    <w:p w14:paraId="295C849B" w14:textId="77777777" w:rsidR="00B71F72" w:rsidRPr="00B71F72" w:rsidRDefault="00B71F72" w:rsidP="00B71F72">
      <w:pPr>
        <w:rPr>
          <w:rFonts w:ascii="Arial" w:hAnsi="Arial" w:cs="Arial"/>
          <w:sz w:val="22"/>
          <w:szCs w:val="22"/>
          <w:lang w:val="mn-MN"/>
        </w:rPr>
      </w:pPr>
      <w:r w:rsidRPr="00B71F72">
        <w:rPr>
          <w:rFonts w:ascii="Arial" w:hAnsi="Arial" w:cs="Arial"/>
          <w:sz w:val="22"/>
          <w:szCs w:val="22"/>
          <w:lang w:val="mn-MN"/>
        </w:rPr>
        <w:t>Эрдлийн менежментийн төлөвлөгөө</w:t>
      </w:r>
    </w:p>
    <w:p w14:paraId="5D57F50A"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1.</w:t>
      </w:r>
      <w:r w:rsidRPr="00B71F72">
        <w:rPr>
          <w:rFonts w:ascii="Arial" w:hAnsi="Arial" w:cs="Arial"/>
          <w:sz w:val="22"/>
          <w:szCs w:val="22"/>
          <w:lang w:val="mn-MN"/>
        </w:rPr>
        <w:tab/>
        <w:t>Төслийн нэр, цар хүрээний товч тодорхойлолт</w:t>
      </w:r>
    </w:p>
    <w:p w14:paraId="12606C75"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2.</w:t>
      </w:r>
      <w:r w:rsidRPr="00B71F72">
        <w:rPr>
          <w:rFonts w:ascii="Arial" w:hAnsi="Arial" w:cs="Arial"/>
          <w:sz w:val="22"/>
          <w:szCs w:val="22"/>
          <w:lang w:val="mn-MN"/>
        </w:rPr>
        <w:tab/>
        <w:t>Эрсдлийн менежментийн загвар (арга хэрэгсэл)</w:t>
      </w:r>
    </w:p>
    <w:p w14:paraId="182D8698"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3.</w:t>
      </w:r>
      <w:r w:rsidRPr="00B71F72">
        <w:rPr>
          <w:rFonts w:ascii="Arial" w:hAnsi="Arial" w:cs="Arial"/>
          <w:sz w:val="22"/>
          <w:szCs w:val="22"/>
          <w:lang w:val="mn-MN"/>
        </w:rPr>
        <w:tab/>
        <w:t>Дүр болон үүрэг</w:t>
      </w:r>
    </w:p>
    <w:p w14:paraId="259130A4"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4.</w:t>
      </w:r>
      <w:r w:rsidRPr="00B71F72">
        <w:rPr>
          <w:rFonts w:ascii="Arial" w:hAnsi="Arial" w:cs="Arial"/>
          <w:sz w:val="22"/>
          <w:szCs w:val="22"/>
          <w:lang w:val="mn-MN"/>
        </w:rPr>
        <w:tab/>
        <w:t>Санхүүжилт</w:t>
      </w:r>
    </w:p>
    <w:p w14:paraId="4E03B8A0"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5.</w:t>
      </w:r>
      <w:r w:rsidRPr="00B71F72">
        <w:rPr>
          <w:rFonts w:ascii="Arial" w:hAnsi="Arial" w:cs="Arial"/>
          <w:sz w:val="22"/>
          <w:szCs w:val="22"/>
          <w:lang w:val="mn-MN"/>
        </w:rPr>
        <w:tab/>
        <w:t>Эрсдлийн хэмжээг үнэлэх болон, хөрвүүлэх арга техник</w:t>
      </w:r>
    </w:p>
    <w:p w14:paraId="7FCEC30A"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6.</w:t>
      </w:r>
      <w:r w:rsidRPr="00B71F72">
        <w:rPr>
          <w:rFonts w:ascii="Arial" w:hAnsi="Arial" w:cs="Arial"/>
          <w:sz w:val="22"/>
          <w:szCs w:val="22"/>
          <w:lang w:val="mn-MN"/>
        </w:rPr>
        <w:tab/>
        <w:t>Эрсдлийг даван үүрэг, үүргийн түвшин</w:t>
      </w:r>
    </w:p>
    <w:p w14:paraId="3A1D4C92"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7.</w:t>
      </w:r>
      <w:r w:rsidRPr="00B71F72">
        <w:rPr>
          <w:rFonts w:ascii="Arial" w:hAnsi="Arial" w:cs="Arial"/>
          <w:sz w:val="22"/>
          <w:szCs w:val="22"/>
          <w:lang w:val="mn-MN"/>
        </w:rPr>
        <w:tab/>
        <w:t>Эрсдлийн харилцааны төлөвлөлт</w:t>
      </w:r>
    </w:p>
    <w:p w14:paraId="110F5349"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8.</w:t>
      </w:r>
      <w:r w:rsidRPr="00B71F72">
        <w:rPr>
          <w:rFonts w:ascii="Arial" w:hAnsi="Arial" w:cs="Arial"/>
          <w:sz w:val="22"/>
          <w:szCs w:val="22"/>
          <w:lang w:val="mn-MN"/>
        </w:rPr>
        <w:tab/>
        <w:t>Эрсдлийн трэккин болон баримтжуулалт</w:t>
      </w:r>
    </w:p>
    <w:p w14:paraId="13FACD9F"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9.</w:t>
      </w:r>
      <w:r w:rsidRPr="00B71F72">
        <w:rPr>
          <w:rFonts w:ascii="Arial" w:hAnsi="Arial" w:cs="Arial"/>
          <w:sz w:val="22"/>
          <w:szCs w:val="22"/>
          <w:lang w:val="mn-MN"/>
        </w:rPr>
        <w:tab/>
        <w:t>Хавсралт</w:t>
      </w:r>
    </w:p>
    <w:p w14:paraId="17AF05C9" w14:textId="77777777" w:rsidR="00B71F72" w:rsidRPr="00B71F72" w:rsidRDefault="00B71F72" w:rsidP="00B71F72">
      <w:pPr>
        <w:ind w:firstLine="720"/>
        <w:rPr>
          <w:rFonts w:ascii="Arial" w:hAnsi="Arial" w:cs="Arial"/>
          <w:sz w:val="22"/>
          <w:szCs w:val="22"/>
          <w:lang w:val="mn-MN"/>
        </w:rPr>
      </w:pPr>
      <w:r w:rsidRPr="00B71F72">
        <w:rPr>
          <w:rFonts w:ascii="Arial" w:hAnsi="Arial" w:cs="Arial"/>
          <w:sz w:val="22"/>
          <w:szCs w:val="22"/>
          <w:lang w:val="mn-MN"/>
        </w:rPr>
        <w:t>i.</w:t>
      </w:r>
      <w:r w:rsidRPr="00B71F72">
        <w:rPr>
          <w:rFonts w:ascii="Arial" w:hAnsi="Arial" w:cs="Arial"/>
          <w:sz w:val="22"/>
          <w:szCs w:val="22"/>
          <w:lang w:val="mn-MN"/>
        </w:rPr>
        <w:tab/>
        <w:t>Эрсдлийн хүснэгт</w:t>
      </w:r>
    </w:p>
    <w:p w14:paraId="339570DF" w14:textId="604661AD" w:rsidR="00B71F72" w:rsidRDefault="00B71F72" w:rsidP="00B71F72">
      <w:pPr>
        <w:ind w:firstLine="720"/>
        <w:rPr>
          <w:rFonts w:ascii="Arial" w:hAnsi="Arial" w:cs="Arial"/>
          <w:sz w:val="22"/>
          <w:szCs w:val="22"/>
          <w:lang w:val="mn-MN"/>
        </w:rPr>
      </w:pPr>
      <w:r w:rsidRPr="00B71F72">
        <w:rPr>
          <w:rFonts w:ascii="Arial" w:hAnsi="Arial" w:cs="Arial"/>
          <w:sz w:val="22"/>
          <w:szCs w:val="22"/>
          <w:lang w:val="mn-MN"/>
        </w:rPr>
        <w:t>ii.</w:t>
      </w:r>
      <w:r w:rsidRPr="00B71F72">
        <w:rPr>
          <w:rFonts w:ascii="Arial" w:hAnsi="Arial" w:cs="Arial"/>
          <w:sz w:val="22"/>
          <w:szCs w:val="22"/>
          <w:lang w:val="mn-MN"/>
        </w:rPr>
        <w:tab/>
        <w:t>Эрсдлийг даван туулах төлөвлөгөө</w:t>
      </w:r>
    </w:p>
    <w:p w14:paraId="7F3101A0" w14:textId="77777777" w:rsidR="00B71F72" w:rsidRPr="00B71F72" w:rsidRDefault="00B71F72" w:rsidP="00B71F72">
      <w:pPr>
        <w:rPr>
          <w:rFonts w:ascii="Arial" w:hAnsi="Arial" w:cs="Arial"/>
          <w:sz w:val="22"/>
          <w:szCs w:val="22"/>
          <w:lang w:val="mn-MN"/>
        </w:rPr>
      </w:pPr>
      <w:r w:rsidRPr="00B71F72">
        <w:rPr>
          <w:rFonts w:ascii="Arial" w:hAnsi="Arial" w:cs="Arial"/>
          <w:b/>
          <w:sz w:val="22"/>
          <w:szCs w:val="22"/>
          <w:lang w:val="mn-MN"/>
        </w:rPr>
        <w:t>Эрсдлийн менежментийн төлөвлөлтийн үе шатууд</w:t>
      </w:r>
      <w:r w:rsidRPr="00B71F72">
        <w:rPr>
          <w:rFonts w:ascii="Arial" w:hAnsi="Arial" w:cs="Arial"/>
          <w:sz w:val="22"/>
          <w:szCs w:val="22"/>
          <w:lang w:val="mn-MN"/>
        </w:rPr>
        <w:t xml:space="preserve"> </w:t>
      </w:r>
    </w:p>
    <w:p w14:paraId="16185130" w14:textId="493052BB" w:rsidR="00B71F72" w:rsidRPr="00B71F72" w:rsidRDefault="00B71F72" w:rsidP="00B71F72">
      <w:pPr>
        <w:rPr>
          <w:rFonts w:ascii="Arial" w:hAnsi="Arial" w:cs="Arial"/>
          <w:b/>
          <w:sz w:val="22"/>
          <w:szCs w:val="22"/>
          <w:lang w:val="mn-MN"/>
        </w:rPr>
      </w:pPr>
      <w:r w:rsidRPr="00B71F72">
        <w:rPr>
          <w:rFonts w:ascii="Arial" w:hAnsi="Arial" w:cs="Arial"/>
          <w:sz w:val="22"/>
          <w:szCs w:val="22"/>
          <w:lang w:val="mn-MN"/>
        </w:rPr>
        <w:t>Эрсдлийн менежментийн төлөвлөлт нь төслийн хувьд тохиолдож болох эрсдлүүдийг амжилттай даван туулахад гол баримтлах чиг шугам болдог. Тиймээс ямар ч төслийн хувьд эрдслийн шинжилгээг сайтар хийж эрсдлийн менежментийн төлөвлөлтийг нарийн боловсруулсан байх хэрэгтэй.</w:t>
      </w:r>
    </w:p>
    <w:p w14:paraId="3DEF4DDE"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lastRenderedPageBreak/>
        <w:t xml:space="preserve">Төслийн нэр болон цар хүрээний товч тодорхойлолт. </w:t>
      </w:r>
      <w:r w:rsidRPr="00B71F72">
        <w:rPr>
          <w:rFonts w:ascii="Arial" w:hAnsi="Arial" w:cs="Arial"/>
          <w:sz w:val="22"/>
          <w:szCs w:val="22"/>
          <w:lang w:val="mn-MN"/>
        </w:rPr>
        <w:t xml:space="preserve">Энэ хэсэг нь төслийн нэр болон төслийн зорилгыг товч харуулна. </w:t>
      </w:r>
    </w:p>
    <w:p w14:paraId="208B16AA"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 xml:space="preserve">Эрсдлийн менежментийн загвар. </w:t>
      </w:r>
      <w:r w:rsidRPr="00B71F72">
        <w:rPr>
          <w:rFonts w:ascii="Arial" w:hAnsi="Arial" w:cs="Arial"/>
          <w:sz w:val="22"/>
          <w:szCs w:val="22"/>
          <w:lang w:val="mn-MN"/>
        </w:rPr>
        <w:t xml:space="preserve">Энэ хэсэгт төслийн хувьд эрсдлүүдийг тооцохдоо ямар арга техникийг ашиглах, эрсдлийг даван туулахдаа ямар стратеги баримтлахыг тодорхойлно. Энэ хэсэг нь эрсдлүүд болон эрсдлийн стратегиудыг хөгжүүлэх үндсэн баримт бичиг болно. </w:t>
      </w:r>
    </w:p>
    <w:p w14:paraId="12F14982"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Дүр болон үүрэг.</w:t>
      </w:r>
      <w:r w:rsidRPr="00B71F72">
        <w:rPr>
          <w:rFonts w:ascii="Arial" w:hAnsi="Arial" w:cs="Arial"/>
          <w:sz w:val="22"/>
          <w:szCs w:val="22"/>
          <w:lang w:val="mn-MN"/>
        </w:rPr>
        <w:t xml:space="preserve"> Төслийн багийн гишүүн бүрийн дүр болон үүргийг энэ хэсэгт нарийн тодорхойлж өгөх хэрэгтэй. Хэрэв багийн гишүүдийн гарч буй эрсдлийг цаг тухайд нь менежерт мэдээлэх, тэр талаар арга хэмжээ авах үүргийг сайтар тодорхойлж өгөхгүй бол гарч буй зарим нэг эрсдлийг хайхралгүй өнгөрөөх байдал элбэг тохиолддог. Мэдээж хэрэг төслийн менежер эрсдлийг олж илрүүлэх, даван туулах ажиллагааг хэрэгжүүлэх хамгийн том үүргийг хүлээх боловч энэ бүхнийг багийн гишүүдийн илтгэл, мэдээлэл дээр тулгуурлан хийх хэрэгтэйн байдаг. </w:t>
      </w:r>
    </w:p>
    <w:p w14:paraId="4D9DBA38"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Санхүүжилт.</w:t>
      </w:r>
      <w:r w:rsidRPr="00B71F72">
        <w:rPr>
          <w:rFonts w:ascii="Arial" w:hAnsi="Arial" w:cs="Arial"/>
          <w:sz w:val="22"/>
          <w:szCs w:val="22"/>
          <w:lang w:val="mn-MN"/>
        </w:rPr>
        <w:t xml:space="preserve"> Төслийг хэрэгжүүлэх явцад гарч болох тухайн нэг эрсдлийг даван туулахад шаардлагатай хөрөнгө, санхүүжилтыг төсөл эхлэхээс өмнө төлөвлөж баталсан байх ёстой. Олон байгууллагууд эрдслийг даван туулахад шаардагдах санхүүжилтын эх үүсвэрийн асуудлыг шийдвэрлэх үүргийг төслийн менежерт оногдуулдаг. Энэ хэсэгт эрсдлийг даван туулах санхүүжилтын эх үүсвэрийг асуудлыг хэрхэн шийдвэрлэхийг тусгаж өгдөг.</w:t>
      </w:r>
    </w:p>
    <w:p w14:paraId="36FDE6D0"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 xml:space="preserve">Эрсдлийн хэмжээг үнэлэх болон хөрвүүлэх арга техник. </w:t>
      </w:r>
      <w:r w:rsidRPr="00B71F72">
        <w:rPr>
          <w:rFonts w:ascii="Arial" w:hAnsi="Arial" w:cs="Arial"/>
          <w:sz w:val="22"/>
          <w:szCs w:val="22"/>
          <w:lang w:val="mn-MN"/>
        </w:rPr>
        <w:t xml:space="preserve">Энэ хэсэгт эрдлийн хэмжээг үнэлэх, түүнийг оноонд хөрвүүлэх арга техник эсвэл техникүүдийг тодорхойлно. Ихэнх компанийн хувьд олон тохиолддог эрсдлүүдийг үнэлэхдээ баримталдаг чиг шугам байдаг. Эрсдлүүдийн түвшинд оноо өгөх арга нь чанарын болоод тоо хэмжээний шинжилгээнд аль алинд нь чухал үүрэгтэй байдаг ба эрсдлээс үүдэн гарч болох хор хохирлыг бууруулахад чухал нөлөөтэй. Эрсдлийн хор хөнөөлийн хэмжээг оноогоор үнэлэх аргууд нь эрдслийн менежментийн төлөвлөлтийн бүр үе шатуудад ашиглагддаг. </w:t>
      </w:r>
    </w:p>
    <w:p w14:paraId="458C85B1"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 xml:space="preserve">Эрсдлийг даван туулах үүрэг, үүргийн түвшин. </w:t>
      </w:r>
      <w:r w:rsidRPr="00B71F72">
        <w:rPr>
          <w:rFonts w:ascii="Arial" w:hAnsi="Arial" w:cs="Arial"/>
          <w:sz w:val="22"/>
          <w:szCs w:val="22"/>
          <w:lang w:val="mn-MN"/>
        </w:rPr>
        <w:t xml:space="preserve">Энэ хэсэгт тухайн нэг эрдслийг даван туулах үүргийг хэн хүлээх вэ гэдгийг урьчдилан  тодорхойлсон байдаг. Төслийн амьдралын циклийн явцад эрсдлийг даван туулах өөр өөр түвшний ажиллагаа шаарддаг олон эрсдлүүд тохиолддог. Мэдээж хэрэг төслийн менежер тодорхой түвшний эрсдүүлийг даван туулах ажиллагааг гардан хийх үүрэгтэй боловч, хэрэв эрдслийн хэмжээ нь тооцоолсноос их, тооцоолсноос их зардал гарахаар байвал тэр үүнийг дээд түвшний менежерүүд, мөн захиалагчид мэдэгдэх хэрэгтэй. Эрсдлийг даван туулахад зарцуулагддаг цаг хугацаа, хөрөнгийн эх үүсвэрээс шалтгаалаад тодорхой түвшний эрдслүүдийг захиалагчид өөрсдөө гардаж даван туулах ажиллагааг хийдэг. Эрдслийн менежментийн төлөвлөлтий үр ашигтай байдлыг тухайн эрдслийг хэр бага өртгөөр даван туулснаар нь хэмжиж болно. </w:t>
      </w:r>
    </w:p>
    <w:p w14:paraId="3AF19FC2"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 xml:space="preserve">Эрсдлийн харилцааны төлөвлөлт. </w:t>
      </w:r>
      <w:r w:rsidRPr="00B71F72">
        <w:rPr>
          <w:rFonts w:ascii="Arial" w:hAnsi="Arial" w:cs="Arial"/>
          <w:sz w:val="22"/>
          <w:szCs w:val="22"/>
          <w:lang w:val="mn-MN"/>
        </w:rPr>
        <w:t xml:space="preserve">Энэ хэсэгт эрсдэл, түүнийг хэрхэн даван туулсан тайланг бичих формат, энэ тайланг ямар хүмүүс авахыг тайлбарлана. </w:t>
      </w:r>
      <w:r w:rsidRPr="00B71F72">
        <w:rPr>
          <w:rFonts w:ascii="Arial" w:hAnsi="Arial" w:cs="Arial"/>
          <w:sz w:val="22"/>
          <w:szCs w:val="22"/>
        </w:rPr>
        <w:t xml:space="preserve">(e.g. </w:t>
      </w:r>
      <w:r w:rsidRPr="00B71F72">
        <w:rPr>
          <w:rFonts w:ascii="Arial" w:hAnsi="Arial" w:cs="Arial"/>
          <w:sz w:val="22"/>
          <w:szCs w:val="22"/>
          <w:lang w:val="mn-MN"/>
        </w:rPr>
        <w:t>харилцагчид, дээд түвшний менежер</w:t>
      </w:r>
      <w:r w:rsidRPr="00B71F72">
        <w:rPr>
          <w:rFonts w:ascii="Arial" w:hAnsi="Arial" w:cs="Arial"/>
          <w:sz w:val="22"/>
          <w:szCs w:val="22"/>
        </w:rPr>
        <w:t>)</w:t>
      </w:r>
    </w:p>
    <w:p w14:paraId="628AA1C0" w14:textId="77777777" w:rsidR="00B71F72" w:rsidRPr="00B71F72" w:rsidRDefault="00B71F72" w:rsidP="00B71F72">
      <w:pPr>
        <w:numPr>
          <w:ilvl w:val="0"/>
          <w:numId w:val="4"/>
        </w:numPr>
        <w:rPr>
          <w:rFonts w:ascii="Arial" w:hAnsi="Arial" w:cs="Arial"/>
          <w:b/>
          <w:sz w:val="22"/>
          <w:szCs w:val="22"/>
          <w:lang w:val="mn-MN"/>
        </w:rPr>
      </w:pPr>
      <w:r w:rsidRPr="00B71F72">
        <w:rPr>
          <w:rFonts w:ascii="Arial" w:hAnsi="Arial" w:cs="Arial"/>
          <w:b/>
          <w:sz w:val="22"/>
          <w:szCs w:val="22"/>
          <w:lang w:val="mn-MN"/>
        </w:rPr>
        <w:t xml:space="preserve">Эрсдлийн трэкин болон баримтжуулалт. </w:t>
      </w:r>
      <w:r w:rsidRPr="00B71F72">
        <w:rPr>
          <w:rFonts w:ascii="Arial" w:hAnsi="Arial" w:cs="Arial"/>
          <w:sz w:val="22"/>
          <w:szCs w:val="22"/>
          <w:lang w:val="mn-MN"/>
        </w:rPr>
        <w:t xml:space="preserve">Энд эрсдлийг даван туулах стратегиуд, тэднийг хэрхэн баримтжуулах талаар тайлбарлана. </w:t>
      </w:r>
    </w:p>
    <w:p w14:paraId="7B6C3F81" w14:textId="77777777" w:rsidR="00B71F72" w:rsidRPr="00B71F72" w:rsidRDefault="00B71F72" w:rsidP="00B71F72">
      <w:pPr>
        <w:numPr>
          <w:ilvl w:val="0"/>
          <w:numId w:val="4"/>
        </w:numPr>
        <w:rPr>
          <w:rFonts w:ascii="Arial" w:hAnsi="Arial" w:cs="Arial"/>
          <w:sz w:val="22"/>
          <w:szCs w:val="22"/>
          <w:lang w:val="mn-MN"/>
        </w:rPr>
      </w:pPr>
      <w:r w:rsidRPr="00B71F72">
        <w:rPr>
          <w:rFonts w:ascii="Arial" w:hAnsi="Arial" w:cs="Arial"/>
          <w:b/>
          <w:sz w:val="22"/>
          <w:szCs w:val="22"/>
          <w:lang w:val="mn-MN"/>
        </w:rPr>
        <w:t xml:space="preserve">Хавсралт. </w:t>
      </w:r>
      <w:r w:rsidRPr="00B71F72">
        <w:rPr>
          <w:rFonts w:ascii="Arial" w:hAnsi="Arial" w:cs="Arial"/>
          <w:sz w:val="22"/>
          <w:szCs w:val="22"/>
          <w:lang w:val="mn-MN"/>
        </w:rPr>
        <w:t xml:space="preserve">Энэ хэсэгт төслийн хувьд шаардлагатай байж болох   </w:t>
      </w:r>
    </w:p>
    <w:p w14:paraId="02CD2244" w14:textId="77777777" w:rsidR="00B71F72" w:rsidRPr="00B71F72" w:rsidRDefault="00B71F72" w:rsidP="00B71F72">
      <w:pPr>
        <w:rPr>
          <w:rFonts w:ascii="Arial" w:hAnsi="Arial" w:cs="Arial"/>
          <w:sz w:val="22"/>
          <w:szCs w:val="22"/>
          <w:lang w:val="mn-MN"/>
        </w:rPr>
      </w:pPr>
      <w:r w:rsidRPr="00B71F72">
        <w:rPr>
          <w:rFonts w:ascii="Arial" w:hAnsi="Arial" w:cs="Arial"/>
          <w:b/>
          <w:sz w:val="22"/>
          <w:szCs w:val="22"/>
          <w:lang w:val="mn-MN"/>
        </w:rPr>
        <w:t xml:space="preserve">      </w:t>
      </w:r>
      <w:r w:rsidRPr="00B71F72">
        <w:rPr>
          <w:rFonts w:ascii="Arial" w:hAnsi="Arial" w:cs="Arial"/>
          <w:sz w:val="22"/>
          <w:szCs w:val="22"/>
          <w:lang w:val="mn-MN"/>
        </w:rPr>
        <w:t xml:space="preserve">нэмэлт мэдээллийг агуулна. Энд хамгийн түгээмэл агуулагддаг хоёр  </w:t>
      </w:r>
    </w:p>
    <w:p w14:paraId="12A83B7C" w14:textId="77777777" w:rsidR="00B71F72" w:rsidRPr="00B71F72" w:rsidRDefault="00B71F72" w:rsidP="00B71F72">
      <w:pPr>
        <w:rPr>
          <w:rFonts w:ascii="Arial" w:hAnsi="Arial" w:cs="Arial"/>
          <w:sz w:val="22"/>
          <w:szCs w:val="22"/>
          <w:lang w:val="mn-MN"/>
        </w:rPr>
      </w:pPr>
      <w:r w:rsidRPr="00B71F72">
        <w:rPr>
          <w:rFonts w:ascii="Arial" w:hAnsi="Arial" w:cs="Arial"/>
          <w:sz w:val="22"/>
          <w:szCs w:val="22"/>
          <w:lang w:val="mn-MN"/>
        </w:rPr>
        <w:t xml:space="preserve">      төрлийн мэдээлэл нь эрсдлийн хүснэгт ба эрсдлийг даван туулах  </w:t>
      </w:r>
    </w:p>
    <w:p w14:paraId="5AFEC10A" w14:textId="77777777" w:rsidR="00B71F72" w:rsidRPr="00B71F72" w:rsidRDefault="00B71F72" w:rsidP="00B71F72">
      <w:pPr>
        <w:rPr>
          <w:rFonts w:ascii="Arial" w:hAnsi="Arial" w:cs="Arial"/>
          <w:sz w:val="22"/>
          <w:szCs w:val="22"/>
          <w:lang w:val="mn-MN"/>
        </w:rPr>
      </w:pPr>
      <w:r w:rsidRPr="00B71F72">
        <w:rPr>
          <w:rFonts w:ascii="Arial" w:hAnsi="Arial" w:cs="Arial"/>
          <w:sz w:val="22"/>
          <w:szCs w:val="22"/>
          <w:lang w:val="mn-MN"/>
        </w:rPr>
        <w:t xml:space="preserve">      төлөвлөгөө юм. </w:t>
      </w:r>
    </w:p>
    <w:p w14:paraId="7A4087ED" w14:textId="77777777" w:rsidR="00B71F72" w:rsidRPr="00B71F72" w:rsidRDefault="00B71F72" w:rsidP="00B71F72">
      <w:pPr>
        <w:numPr>
          <w:ilvl w:val="0"/>
          <w:numId w:val="5"/>
        </w:numPr>
        <w:rPr>
          <w:rFonts w:ascii="Arial" w:hAnsi="Arial" w:cs="Arial"/>
          <w:b/>
          <w:sz w:val="22"/>
          <w:szCs w:val="22"/>
          <w:lang w:val="mn-MN"/>
        </w:rPr>
      </w:pPr>
      <w:r w:rsidRPr="00B71F72">
        <w:rPr>
          <w:rFonts w:ascii="Arial" w:hAnsi="Arial" w:cs="Arial"/>
          <w:b/>
          <w:sz w:val="22"/>
          <w:szCs w:val="22"/>
          <w:lang w:val="mn-MN"/>
        </w:rPr>
        <w:t xml:space="preserve">Эрсдлийн хүснэгт. </w:t>
      </w:r>
      <w:r w:rsidRPr="00B71F72">
        <w:rPr>
          <w:rFonts w:ascii="Arial" w:hAnsi="Arial" w:cs="Arial"/>
          <w:sz w:val="22"/>
          <w:szCs w:val="22"/>
          <w:lang w:val="mn-MN"/>
        </w:rPr>
        <w:t xml:space="preserve">Энэ бол төслийн хувьд тохиолдож болох бүх эрсдлүүдийг агуулсан хүснэгт юм. Зарим төслийн багийн хувьд тухайн шийдвэрлэх боломжтой эрсдлүүдийг багтаасан хүснэгт үйлдэхийг илүүд үздэг. </w:t>
      </w:r>
    </w:p>
    <w:p w14:paraId="18AB9380" w14:textId="77777777" w:rsidR="00B71F72" w:rsidRPr="00B71F72" w:rsidRDefault="00B71F72" w:rsidP="00B71F72">
      <w:pPr>
        <w:numPr>
          <w:ilvl w:val="0"/>
          <w:numId w:val="5"/>
        </w:numPr>
        <w:rPr>
          <w:rFonts w:ascii="Arial" w:hAnsi="Arial" w:cs="Arial"/>
          <w:b/>
          <w:sz w:val="22"/>
          <w:szCs w:val="22"/>
          <w:lang w:val="mn-MN"/>
        </w:rPr>
      </w:pPr>
      <w:r w:rsidRPr="00B71F72">
        <w:rPr>
          <w:rFonts w:ascii="Arial" w:hAnsi="Arial" w:cs="Arial"/>
          <w:b/>
          <w:sz w:val="22"/>
          <w:szCs w:val="22"/>
          <w:lang w:val="mn-MN"/>
        </w:rPr>
        <w:lastRenderedPageBreak/>
        <w:t>Эрсдлийг даван туулах төлөвлөгөө.</w:t>
      </w:r>
      <w:r w:rsidRPr="00B71F72">
        <w:rPr>
          <w:rFonts w:ascii="Arial" w:hAnsi="Arial" w:cs="Arial"/>
          <w:sz w:val="22"/>
          <w:szCs w:val="22"/>
          <w:lang w:val="mn-MN"/>
        </w:rPr>
        <w:t xml:space="preserve"> Эрсдлийн хүснэгтэд дурьдагдсан бүх эрсдлүүдийн хувьд түүнийг хэрхэн даван туулах төлөвлөгөөг харж болно. </w:t>
      </w:r>
    </w:p>
    <w:p w14:paraId="0B29BFC1" w14:textId="77777777" w:rsidR="00B71F72" w:rsidRDefault="00B71F72" w:rsidP="00B71F72">
      <w:pPr>
        <w:pStyle w:val="table-para"/>
        <w:jc w:val="both"/>
        <w:rPr>
          <w:rFonts w:ascii="Arial" w:hAnsi="Arial" w:cs="Arial"/>
          <w:lang w:val="mn-MN"/>
        </w:rPr>
      </w:pPr>
      <w:r>
        <w:rPr>
          <w:rFonts w:ascii="Arial" w:hAnsi="Arial" w:cs="Arial"/>
          <w:lang w:val="mn-MN"/>
        </w:rPr>
        <w:t xml:space="preserve">Төслөөс суусан туршлагын материал доорх мэдээллүүдийг ихэвчлэн агуулсан байдаг. </w:t>
      </w:r>
    </w:p>
    <w:p w14:paraId="5BADF853"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Төслийн нэр, эхэлсэн болон дууссан цаг хугацаа</w:t>
      </w:r>
    </w:p>
    <w:p w14:paraId="3C1C5E3F"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 xml:space="preserve">Төслийн холбогдох гол албан тушаалтнууд: төслийн менежер, хөрөнгө оруулагч, төслийн дэд менежерүүд, захиалагч гэх мэт. </w:t>
      </w:r>
    </w:p>
    <w:p w14:paraId="2758656A"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Төслийн үндсэн шугам болон бодит төсөв, ажлын хуваарийн чарт</w:t>
      </w:r>
    </w:p>
    <w:p w14:paraId="053754C6" w14:textId="77777777" w:rsidR="00B71F72" w:rsidRDefault="00B71F72" w:rsidP="00B71F72">
      <w:pPr>
        <w:pStyle w:val="table-para"/>
        <w:numPr>
          <w:ilvl w:val="0"/>
          <w:numId w:val="6"/>
        </w:numPr>
        <w:jc w:val="both"/>
        <w:rPr>
          <w:rFonts w:ascii="Arial" w:hAnsi="Arial" w:cs="Arial"/>
          <w:lang w:val="mn-MN"/>
        </w:rPr>
      </w:pPr>
      <w:r>
        <w:rPr>
          <w:rFonts w:ascii="Arial" w:hAnsi="Arial" w:cs="Arial"/>
        </w:rPr>
        <w:t>Project issues and their resolution</w:t>
      </w:r>
    </w:p>
    <w:p w14:paraId="36BBEB6C"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 xml:space="preserve">Төслийн таамагласан эрсдлүүд болон, тэдний </w:t>
      </w:r>
      <w:r>
        <w:rPr>
          <w:rFonts w:ascii="Arial" w:hAnsi="Arial" w:cs="Arial"/>
        </w:rPr>
        <w:t xml:space="preserve">contingency plan </w:t>
      </w:r>
      <w:r>
        <w:rPr>
          <w:rFonts w:ascii="Arial" w:hAnsi="Arial" w:cs="Arial"/>
          <w:lang w:val="mn-MN"/>
        </w:rPr>
        <w:t>–ы үр дүн</w:t>
      </w:r>
    </w:p>
    <w:p w14:paraId="6243709D"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Урьдчилж таамаглаагүй байсан эрсдлүүд, тэдгээрийн төслийн гүйцэтгэлд нөлөөлсөн байдал.</w:t>
      </w:r>
    </w:p>
    <w:p w14:paraId="504423D5"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 xml:space="preserve">Багийн төлөвлөлт болон гүйцэтгэлийн шинжилгээ </w:t>
      </w:r>
    </w:p>
    <w:p w14:paraId="4751CD44" w14:textId="77777777" w:rsidR="00B71F72" w:rsidRDefault="00B71F72" w:rsidP="00B71F72">
      <w:pPr>
        <w:pStyle w:val="table-para"/>
        <w:numPr>
          <w:ilvl w:val="0"/>
          <w:numId w:val="6"/>
        </w:numPr>
        <w:jc w:val="both"/>
        <w:rPr>
          <w:rFonts w:ascii="Arial" w:hAnsi="Arial" w:cs="Arial"/>
          <w:lang w:val="mn-MN"/>
        </w:rPr>
      </w:pPr>
      <w:r>
        <w:rPr>
          <w:rFonts w:ascii="Arial" w:hAnsi="Arial" w:cs="Arial"/>
          <w:lang w:val="mn-MN"/>
        </w:rPr>
        <w:t>Хэмжүүрүүд болон тэдгээрийн хэрэглээний шинжилгээ</w:t>
      </w:r>
    </w:p>
    <w:p w14:paraId="071E13CD" w14:textId="7B38A654" w:rsidR="00B71F72" w:rsidRPr="00B71F72" w:rsidRDefault="00B71F72" w:rsidP="00B71F72">
      <w:pPr>
        <w:pStyle w:val="table-para"/>
        <w:numPr>
          <w:ilvl w:val="0"/>
          <w:numId w:val="6"/>
        </w:numPr>
        <w:jc w:val="both"/>
        <w:rPr>
          <w:rFonts w:ascii="Arial" w:hAnsi="Arial" w:cs="Arial"/>
          <w:lang w:val="mn-MN"/>
        </w:rPr>
      </w:pPr>
      <w:bookmarkStart w:id="0" w:name="_GoBack"/>
      <w:bookmarkEnd w:id="0"/>
      <w:r w:rsidRPr="00B71F72">
        <w:rPr>
          <w:rFonts w:ascii="Arial" w:hAnsi="Arial" w:cs="Arial"/>
          <w:lang w:val="mn-MN"/>
        </w:rPr>
        <w:t>Төслийн хувьд зөв болон буруу хэрэгжүүлсэн зүйлс</w:t>
      </w:r>
    </w:p>
    <w:sectPr w:rsidR="00B71F72" w:rsidRPr="00B71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721C8"/>
    <w:multiLevelType w:val="multilevel"/>
    <w:tmpl w:val="7B4C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22E90"/>
    <w:multiLevelType w:val="hybridMultilevel"/>
    <w:tmpl w:val="F77C14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0F7499B"/>
    <w:multiLevelType w:val="hybridMultilevel"/>
    <w:tmpl w:val="F70C31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BC0C30"/>
    <w:multiLevelType w:val="hybridMultilevel"/>
    <w:tmpl w:val="85385B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52C51B5E"/>
    <w:multiLevelType w:val="hybridMultilevel"/>
    <w:tmpl w:val="1360C434"/>
    <w:lvl w:ilvl="0" w:tplc="04500001">
      <w:start w:val="1"/>
      <w:numFmt w:val="bullet"/>
      <w:lvlText w:val=""/>
      <w:lvlJc w:val="left"/>
      <w:pPr>
        <w:ind w:left="1440" w:hanging="360"/>
      </w:pPr>
      <w:rPr>
        <w:rFonts w:ascii="Symbol" w:hAnsi="Symbol" w:hint="default"/>
      </w:rPr>
    </w:lvl>
    <w:lvl w:ilvl="1" w:tplc="04500003" w:tentative="1">
      <w:start w:val="1"/>
      <w:numFmt w:val="bullet"/>
      <w:lvlText w:val="o"/>
      <w:lvlJc w:val="left"/>
      <w:pPr>
        <w:ind w:left="2160" w:hanging="360"/>
      </w:pPr>
      <w:rPr>
        <w:rFonts w:ascii="Courier New" w:hAnsi="Courier New" w:cs="Courier New" w:hint="default"/>
      </w:rPr>
    </w:lvl>
    <w:lvl w:ilvl="2" w:tplc="04500005" w:tentative="1">
      <w:start w:val="1"/>
      <w:numFmt w:val="bullet"/>
      <w:lvlText w:val=""/>
      <w:lvlJc w:val="left"/>
      <w:pPr>
        <w:ind w:left="2880" w:hanging="360"/>
      </w:pPr>
      <w:rPr>
        <w:rFonts w:ascii="Wingdings" w:hAnsi="Wingdings" w:hint="default"/>
      </w:rPr>
    </w:lvl>
    <w:lvl w:ilvl="3" w:tplc="04500001" w:tentative="1">
      <w:start w:val="1"/>
      <w:numFmt w:val="bullet"/>
      <w:lvlText w:val=""/>
      <w:lvlJc w:val="left"/>
      <w:pPr>
        <w:ind w:left="3600" w:hanging="360"/>
      </w:pPr>
      <w:rPr>
        <w:rFonts w:ascii="Symbol" w:hAnsi="Symbol" w:hint="default"/>
      </w:rPr>
    </w:lvl>
    <w:lvl w:ilvl="4" w:tplc="04500003" w:tentative="1">
      <w:start w:val="1"/>
      <w:numFmt w:val="bullet"/>
      <w:lvlText w:val="o"/>
      <w:lvlJc w:val="left"/>
      <w:pPr>
        <w:ind w:left="4320" w:hanging="360"/>
      </w:pPr>
      <w:rPr>
        <w:rFonts w:ascii="Courier New" w:hAnsi="Courier New" w:cs="Courier New" w:hint="default"/>
      </w:rPr>
    </w:lvl>
    <w:lvl w:ilvl="5" w:tplc="04500005" w:tentative="1">
      <w:start w:val="1"/>
      <w:numFmt w:val="bullet"/>
      <w:lvlText w:val=""/>
      <w:lvlJc w:val="left"/>
      <w:pPr>
        <w:ind w:left="5040" w:hanging="360"/>
      </w:pPr>
      <w:rPr>
        <w:rFonts w:ascii="Wingdings" w:hAnsi="Wingdings" w:hint="default"/>
      </w:rPr>
    </w:lvl>
    <w:lvl w:ilvl="6" w:tplc="04500001" w:tentative="1">
      <w:start w:val="1"/>
      <w:numFmt w:val="bullet"/>
      <w:lvlText w:val=""/>
      <w:lvlJc w:val="left"/>
      <w:pPr>
        <w:ind w:left="5760" w:hanging="360"/>
      </w:pPr>
      <w:rPr>
        <w:rFonts w:ascii="Symbol" w:hAnsi="Symbol" w:hint="default"/>
      </w:rPr>
    </w:lvl>
    <w:lvl w:ilvl="7" w:tplc="04500003" w:tentative="1">
      <w:start w:val="1"/>
      <w:numFmt w:val="bullet"/>
      <w:lvlText w:val="o"/>
      <w:lvlJc w:val="left"/>
      <w:pPr>
        <w:ind w:left="6480" w:hanging="360"/>
      </w:pPr>
      <w:rPr>
        <w:rFonts w:ascii="Courier New" w:hAnsi="Courier New" w:cs="Courier New" w:hint="default"/>
      </w:rPr>
    </w:lvl>
    <w:lvl w:ilvl="8" w:tplc="04500005" w:tentative="1">
      <w:start w:val="1"/>
      <w:numFmt w:val="bullet"/>
      <w:lvlText w:val=""/>
      <w:lvlJc w:val="left"/>
      <w:pPr>
        <w:ind w:left="7200" w:hanging="360"/>
      </w:pPr>
      <w:rPr>
        <w:rFonts w:ascii="Wingdings" w:hAnsi="Wingdings" w:hint="default"/>
      </w:rPr>
    </w:lvl>
  </w:abstractNum>
  <w:abstractNum w:abstractNumId="5" w15:restartNumberingAfterBreak="0">
    <w:nsid w:val="6D290B2E"/>
    <w:multiLevelType w:val="hybridMultilevel"/>
    <w:tmpl w:val="16B800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5"/>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5A"/>
    <w:rsid w:val="003C082C"/>
    <w:rsid w:val="005C31A9"/>
    <w:rsid w:val="005E3885"/>
    <w:rsid w:val="008F1681"/>
    <w:rsid w:val="00B71F72"/>
    <w:rsid w:val="00B90D5A"/>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1E4C"/>
  <w15:chartTrackingRefBased/>
  <w15:docId w15:val="{F7C86D64-A72B-41F7-B60B-F9C22D13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D5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F72"/>
    <w:pPr>
      <w:ind w:left="720"/>
      <w:contextualSpacing/>
    </w:pPr>
  </w:style>
  <w:style w:type="paragraph" w:customStyle="1" w:styleId="table-para">
    <w:name w:val="table-para"/>
    <w:basedOn w:val="Normal"/>
    <w:rsid w:val="00B71F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858316">
      <w:bodyDiv w:val="1"/>
      <w:marLeft w:val="0"/>
      <w:marRight w:val="0"/>
      <w:marTop w:val="0"/>
      <w:marBottom w:val="0"/>
      <w:divBdr>
        <w:top w:val="none" w:sz="0" w:space="0" w:color="auto"/>
        <w:left w:val="none" w:sz="0" w:space="0" w:color="auto"/>
        <w:bottom w:val="none" w:sz="0" w:space="0" w:color="auto"/>
        <w:right w:val="none" w:sz="0" w:space="0" w:color="auto"/>
      </w:divBdr>
      <w:divsChild>
        <w:div w:id="1429884573">
          <w:marLeft w:val="0"/>
          <w:marRight w:val="0"/>
          <w:marTop w:val="0"/>
          <w:marBottom w:val="0"/>
          <w:divBdr>
            <w:top w:val="none" w:sz="0" w:space="0" w:color="auto"/>
            <w:left w:val="none" w:sz="0" w:space="0" w:color="auto"/>
            <w:bottom w:val="none" w:sz="0" w:space="0" w:color="auto"/>
            <w:right w:val="none" w:sz="0" w:space="0" w:color="auto"/>
          </w:divBdr>
        </w:div>
        <w:div w:id="213347624">
          <w:marLeft w:val="0"/>
          <w:marRight w:val="0"/>
          <w:marTop w:val="0"/>
          <w:marBottom w:val="0"/>
          <w:divBdr>
            <w:top w:val="none" w:sz="0" w:space="0" w:color="auto"/>
            <w:left w:val="none" w:sz="0" w:space="0" w:color="auto"/>
            <w:bottom w:val="none" w:sz="0" w:space="0" w:color="auto"/>
            <w:right w:val="none" w:sz="0" w:space="0" w:color="auto"/>
          </w:divBdr>
        </w:div>
        <w:div w:id="895968197">
          <w:marLeft w:val="0"/>
          <w:marRight w:val="0"/>
          <w:marTop w:val="0"/>
          <w:marBottom w:val="0"/>
          <w:divBdr>
            <w:top w:val="none" w:sz="0" w:space="0" w:color="auto"/>
            <w:left w:val="none" w:sz="0" w:space="0" w:color="auto"/>
            <w:bottom w:val="none" w:sz="0" w:space="0" w:color="auto"/>
            <w:right w:val="none" w:sz="0" w:space="0" w:color="auto"/>
          </w:divBdr>
        </w:div>
        <w:div w:id="1726299086">
          <w:marLeft w:val="0"/>
          <w:marRight w:val="0"/>
          <w:marTop w:val="0"/>
          <w:marBottom w:val="0"/>
          <w:divBdr>
            <w:top w:val="none" w:sz="0" w:space="0" w:color="auto"/>
            <w:left w:val="none" w:sz="0" w:space="0" w:color="auto"/>
            <w:bottom w:val="none" w:sz="0" w:space="0" w:color="auto"/>
            <w:right w:val="none" w:sz="0" w:space="0" w:color="auto"/>
          </w:divBdr>
        </w:div>
        <w:div w:id="1898390064">
          <w:marLeft w:val="0"/>
          <w:marRight w:val="0"/>
          <w:marTop w:val="0"/>
          <w:marBottom w:val="0"/>
          <w:divBdr>
            <w:top w:val="none" w:sz="0" w:space="0" w:color="auto"/>
            <w:left w:val="none" w:sz="0" w:space="0" w:color="auto"/>
            <w:bottom w:val="none" w:sz="0" w:space="0" w:color="auto"/>
            <w:right w:val="none" w:sz="0" w:space="0" w:color="auto"/>
          </w:divBdr>
        </w:div>
      </w:divsChild>
    </w:div>
    <w:div w:id="1152596639">
      <w:bodyDiv w:val="1"/>
      <w:marLeft w:val="0"/>
      <w:marRight w:val="0"/>
      <w:marTop w:val="0"/>
      <w:marBottom w:val="0"/>
      <w:divBdr>
        <w:top w:val="none" w:sz="0" w:space="0" w:color="auto"/>
        <w:left w:val="none" w:sz="0" w:space="0" w:color="auto"/>
        <w:bottom w:val="none" w:sz="0" w:space="0" w:color="auto"/>
        <w:right w:val="none" w:sz="0" w:space="0" w:color="auto"/>
      </w:divBdr>
    </w:div>
    <w:div w:id="1355299864">
      <w:bodyDiv w:val="1"/>
      <w:marLeft w:val="0"/>
      <w:marRight w:val="0"/>
      <w:marTop w:val="0"/>
      <w:marBottom w:val="0"/>
      <w:divBdr>
        <w:top w:val="none" w:sz="0" w:space="0" w:color="auto"/>
        <w:left w:val="none" w:sz="0" w:space="0" w:color="auto"/>
        <w:bottom w:val="none" w:sz="0" w:space="0" w:color="auto"/>
        <w:right w:val="none" w:sz="0" w:space="0" w:color="auto"/>
      </w:divBdr>
    </w:div>
    <w:div w:id="1440645015">
      <w:bodyDiv w:val="1"/>
      <w:marLeft w:val="0"/>
      <w:marRight w:val="0"/>
      <w:marTop w:val="0"/>
      <w:marBottom w:val="0"/>
      <w:divBdr>
        <w:top w:val="none" w:sz="0" w:space="0" w:color="auto"/>
        <w:left w:val="none" w:sz="0" w:space="0" w:color="auto"/>
        <w:bottom w:val="none" w:sz="0" w:space="0" w:color="auto"/>
        <w:right w:val="none" w:sz="0" w:space="0" w:color="auto"/>
      </w:divBdr>
    </w:div>
    <w:div w:id="20931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Otgonbaatar Ikhbayar</dc:creator>
  <cp:keywords/>
  <dc:description/>
  <cp:lastModifiedBy>Otgonbaatar Ikhbayar</cp:lastModifiedBy>
  <cp:revision>1</cp:revision>
  <dcterms:created xsi:type="dcterms:W3CDTF">2020-03-15T13:12:00Z</dcterms:created>
  <dcterms:modified xsi:type="dcterms:W3CDTF">2020-03-15T13:30:00Z</dcterms:modified>
</cp:coreProperties>
</file>