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36" w:rsidRDefault="00013799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bookmarkStart w:id="0" w:name="_GoBack"/>
      <w:bookmarkEnd w:id="0"/>
      <w:r>
        <w:rPr>
          <w:rFonts w:ascii="Times New Roman" w:hAnsi="Times New Roman"/>
          <w:b/>
          <w:position w:val="-24"/>
          <w:lang w:val="en-US"/>
        </w:rPr>
        <w:t xml:space="preserve">                                                       10 -ámeliy shınıǵıw.</w:t>
      </w:r>
    </w:p>
    <w:p w:rsidR="00677436" w:rsidRDefault="00013799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b/>
          <w:position w:val="-24"/>
          <w:sz w:val="24"/>
          <w:szCs w:val="24"/>
          <w:lang w:val="en-US"/>
        </w:rPr>
        <w:t xml:space="preserve"> ELEKTR INDUKSIYA VEKTORI vA UNING KUCH CHIZIQLARI. ELEKTR INDUKSIYA OQIMI. OSTRAGRADSKIY-GAUSS TEOREMASI. KUCHLANGANLIK VEKTORINING OQIMI.</w:t>
      </w:r>
    </w:p>
    <w:p w:rsidR="00677436" w:rsidRDefault="00013799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b/>
          <w:position w:val="-24"/>
          <w:sz w:val="24"/>
          <w:szCs w:val="24"/>
          <w:lang w:val="en-US"/>
        </w:rPr>
        <w:t xml:space="preserve"> 1-másele. Tegis zaryadlanǵan jismning s=ab maydansha arqalı payda etip atırǵan elektrostatik maydan kúshlanganligi vektorı aǵımın tabıń? Bul maydansha birinshi dene orayından r1 aralıqta hám ekinshi deneden sonday r2 aralıqta jaylasqanki birinshi dene ora</w:t>
      </w:r>
      <w:r>
        <w:rPr>
          <w:rFonts w:ascii="Times New Roman" w:hAnsi="Times New Roman"/>
          <w:b/>
          <w:position w:val="-24"/>
          <w:sz w:val="24"/>
          <w:szCs w:val="24"/>
          <w:lang w:val="en-US"/>
        </w:rPr>
        <w:t>yından ekinshi denege ótkerilgen perpendikulyar menen maydanshaǵa ótkerilgen normal α múyesh quraydı. a hám b lar r1 hám r2 den talay kishi.</w:t>
      </w:r>
    </w:p>
    <w:tbl>
      <w:tblPr>
        <w:tblW w:w="94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82"/>
        <w:gridCol w:w="3023"/>
        <w:gridCol w:w="2916"/>
        <w:gridCol w:w="864"/>
        <w:gridCol w:w="900"/>
        <w:gridCol w:w="566"/>
        <w:gridCol w:w="566"/>
      </w:tblGrid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Birinchi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jism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Ikkinchi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jism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sm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α, grad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, m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m</w:t>
            </w: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>
              <w:rPr>
                <w:rFonts w:ascii="Times New Roman" w:hAnsi="Times New Roman"/>
                <w:sz w:val="24"/>
                <w:szCs w:val="24"/>
              </w:rPr>
              <w:t>=+10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oqatliq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zaryad</w:t>
            </w:r>
          </w:p>
        </w:tc>
        <w:tc>
          <w:tcPr>
            <w:tcW w:w="2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Sheksiz tegislik              </w:t>
            </w:r>
            <w:r>
              <w:rPr>
                <w:rFonts w:ascii="Times New Roman" w:hAnsi="Times New Roman"/>
                <w:sz w:val="24"/>
                <w:szCs w:val="24"/>
              </w:rPr>
              <w:t>σ=-2·10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-8 </w:t>
            </w:r>
            <w:r>
              <w:rPr>
                <w:rFonts w:ascii="Times New Roman" w:hAnsi="Times New Roman"/>
                <w:sz w:val="24"/>
                <w:szCs w:val="24"/>
              </w:rPr>
              <w:t>Kl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q=</w:t>
            </w:r>
            <w:r>
              <w:rPr>
                <w:rFonts w:ascii="Times New Roman" w:hAnsi="Times New Roman"/>
                <w:sz w:val="24"/>
                <w:szCs w:val="24"/>
              </w:rPr>
              <w:t>-4·10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 xml:space="preserve">8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oqatliq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zaryad</w:t>
            </w:r>
          </w:p>
        </w:tc>
        <w:tc>
          <w:tcPr>
            <w:tcW w:w="2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Sheksiz tegislik </w:t>
            </w: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σ=-5·10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-9 </w:t>
            </w:r>
            <w:r>
              <w:rPr>
                <w:rFonts w:ascii="Times New Roman" w:hAnsi="Times New Roman"/>
                <w:sz w:val="24"/>
                <w:szCs w:val="24"/>
              </w:rPr>
              <w:t>Kl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Sfera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r=3 sm, </w:t>
            </w:r>
            <w:r>
              <w:rPr>
                <w:rFonts w:ascii="Times New Roman" w:hAnsi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=-10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-6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Kl/m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Sheksiz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uz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silindrik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truba, radiusi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sm</w:t>
            </w: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=-10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 xml:space="preserve">-8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Kl/m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8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30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Sfera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r=3 sm, </w:t>
            </w:r>
            <w:r>
              <w:rPr>
                <w:rFonts w:ascii="Times New Roman" w:hAnsi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=-10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-6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Kl/m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Sheksiz ótkeriwshi</w:t>
            </w: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en-US"/>
              </w:rPr>
              <w:t xml:space="preserve">-10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Kl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77436"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77436" w:rsidRDefault="00677436"/>
    <w:p w:rsidR="00677436" w:rsidRDefault="00677436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677436" w:rsidRDefault="00677436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677436" w:rsidRDefault="00013799">
      <w:pPr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 xml:space="preserve">2-másele. Elektr maydanı tegis zaryadlanǵan sızıqlı λ, sırtıy σ yamasa kólemiy ρ </w:t>
      </w:r>
      <w:r>
        <w:rPr>
          <w:rFonts w:ascii="Times New Roman" w:hAnsi="Times New Roman"/>
          <w:b/>
          <w:i/>
          <w:sz w:val="24"/>
          <w:szCs w:val="24"/>
        </w:rPr>
        <w:t>tıǵızlıq arqalı payda etińan. Zaryadlanǵan deneden r1 hám r2 aralıqta jaylasqan eki noqatı arasındaǵı potensiallar ayırması ∆φ=φ1-φ2 ni tabıń.</w:t>
      </w:r>
    </w:p>
    <w:tbl>
      <w:tblPr>
        <w:tblW w:w="9097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53"/>
        <w:gridCol w:w="2996"/>
        <w:gridCol w:w="1201"/>
        <w:gridCol w:w="1213"/>
        <w:gridCol w:w="1079"/>
        <w:gridCol w:w="843"/>
        <w:gridCol w:w="912"/>
      </w:tblGrid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Zaryadlangan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dene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λ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Kl/m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σ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Kl/m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Kl/m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sm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sm</w:t>
            </w:r>
          </w:p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uz-Cyrl-UZ"/>
              </w:rPr>
            </w:pP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Sheksiz tegislik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+2*10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</w:tr>
      <w:tr w:rsidR="00677436">
        <w:tc>
          <w:tcPr>
            <w:tcW w:w="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Sheksiz uzin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Ótkeriwshi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+4*10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-9</w:t>
            </w: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677436">
        <w:tc>
          <w:tcPr>
            <w:tcW w:w="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R=3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sm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bo‘lgan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sfera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+6*10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</w:p>
        </w:tc>
      </w:tr>
      <w:tr w:rsidR="00677436">
        <w:tc>
          <w:tcPr>
            <w:tcW w:w="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Sheksiz uzın cilindrik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truba, radiusi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R=5 sm</w:t>
            </w:r>
          </w:p>
        </w:tc>
        <w:tc>
          <w:tcPr>
            <w:tcW w:w="12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+10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-8</w:t>
            </w:r>
          </w:p>
        </w:tc>
        <w:tc>
          <w:tcPr>
            <w:tcW w:w="1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1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677436"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677436">
        <w:trPr>
          <w:trHeight w:val="1014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9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1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7436" w:rsidRDefault="0067743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677436" w:rsidRDefault="0001379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</w:tr>
    </w:tbl>
    <w:p w:rsidR="00677436" w:rsidRDefault="00677436"/>
    <w:sectPr w:rsidR="00677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36"/>
    <w:rsid w:val="00013799"/>
    <w:rsid w:val="0067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</cp:revision>
  <dcterms:created xsi:type="dcterms:W3CDTF">2022-03-16T12:30:00Z</dcterms:created>
  <dcterms:modified xsi:type="dcterms:W3CDTF">2022-03-16T12:30:00Z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887eaef39a1d48c7acaa14a610add07a</vt:lpwstr>
  </property>
</Properties>
</file>