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notes.xml" ContentType="application/vnd.openxmlformats-officedocument.wordprocessingml.footnote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start"/>
        <w:tblInd w:w="-5" w:type="dxa"/>
        <w:tblLayout w:type="fixed"/>
        <w:tblCellMar>
          <w:top w:w="0" w:type="dxa"/>
          <w:start w:w="108" w:type="dxa"/>
          <w:bottom w:w="0" w:type="dxa"/>
          <w:end w:w="108" w:type="dxa"/>
        </w:tblCellMar>
      </w:tblPr>
      <w:tblGrid>
        <w:gridCol w:w="9026"/>
      </w:tblGrid>
      <w:tr>
        <w:trPr>
          <w:trHeight w:val="1550" w:hRule="atLeast"/>
          <w:cantSplit w:val="true"/>
        </w:trPr>
        <w:tc>
          <w:tcPr>
            <w:tcW w:w="9026"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240" w:before="120" w:after="120"/>
              <w:jc w:val="center"/>
              <w:rPr/>
            </w:pPr>
            <w:r>
              <w:rPr/>
            </w:r>
          </w:p>
          <w:p>
            <w:pPr>
              <w:pStyle w:val="Normal1"/>
              <w:spacing w:lineRule="auto" w:line="240" w:before="120" w:after="120"/>
              <w:jc w:val="center"/>
              <w:rPr>
                <w:b/>
                <w:sz w:val="48"/>
                <w:szCs w:val="48"/>
              </w:rPr>
            </w:pPr>
            <w:r>
              <w:rPr>
                <w:b/>
                <w:sz w:val="48"/>
                <w:szCs w:val="48"/>
              </w:rPr>
              <w:t>TERMS OF REFERENCE</w:t>
            </w:r>
          </w:p>
          <w:p>
            <w:pPr>
              <w:pStyle w:val="Normal1"/>
              <w:spacing w:lineRule="auto" w:line="240" w:before="120" w:after="120"/>
              <w:jc w:val="center"/>
              <w:rPr>
                <w:b/>
              </w:rPr>
            </w:pPr>
            <w:r>
              <w:rPr>
                <w:b/>
              </w:rPr>
            </w:r>
          </w:p>
          <w:p>
            <w:pPr>
              <w:pStyle w:val="Normal1"/>
              <w:spacing w:lineRule="auto" w:line="240" w:before="120" w:after="120"/>
              <w:jc w:val="center"/>
              <w:rPr>
                <w:b/>
              </w:rPr>
            </w:pPr>
            <w:r>
              <w:rPr>
                <w:b/>
              </w:rPr>
              <w:t>Fiscal Incentives for Private Sector R&amp;D Investment in Kenya</w:t>
            </w:r>
          </w:p>
          <w:p>
            <w:pPr>
              <w:pStyle w:val="Normal1"/>
              <w:spacing w:lineRule="auto" w:line="240" w:before="120" w:after="120"/>
              <w:jc w:val="center"/>
              <w:rPr>
                <w:b/>
              </w:rPr>
            </w:pPr>
            <w:r>
              <w:rPr>
                <w:b/>
              </w:rPr>
              <w:t>November 2025</w:t>
            </w:r>
          </w:p>
          <w:p>
            <w:pPr>
              <w:pStyle w:val="Normal1"/>
              <w:spacing w:lineRule="auto" w:line="240" w:before="120" w:after="120"/>
              <w:jc w:val="center"/>
              <w:rPr>
                <w:i/>
                <w:iCs/>
              </w:rPr>
            </w:pPr>
            <w:r>
              <w:rPr>
                <w:i/>
                <w:iCs/>
              </w:rPr>
              <w:t>Kenya’s innovation ecosystem faces critical underinvestment in R&amp;D, particularly from the private sector. Despite existing tax incentives for foreign investment, there are no targeted fiscal schemes to promote domestic R&amp;D. KeNIA, with support from FCDO, seeks to address this gap by generating evidence to inform policy reforms.</w:t>
            </w:r>
          </w:p>
        </w:tc>
      </w:tr>
    </w:tbl>
    <w:p>
      <w:pPr>
        <w:pStyle w:val="Normal1"/>
        <w:spacing w:lineRule="auto" w:line="240" w:before="120" w:after="120"/>
        <w:rPr/>
      </w:pPr>
      <w:r>
        <w:rPr/>
      </w:r>
    </w:p>
    <w:tbl>
      <w:tblPr>
        <w:tblW w:w="5000" w:type="pct"/>
        <w:jc w:val="start"/>
        <w:tblInd w:w="-5" w:type="dxa"/>
        <w:tblLayout w:type="fixed"/>
        <w:tblCellMar>
          <w:top w:w="0" w:type="dxa"/>
          <w:start w:w="108" w:type="dxa"/>
          <w:bottom w:w="0" w:type="dxa"/>
          <w:end w:w="108" w:type="dxa"/>
        </w:tblCellMar>
      </w:tblPr>
      <w:tblGrid>
        <w:gridCol w:w="9026"/>
      </w:tblGrid>
      <w:tr>
        <w:trPr/>
        <w:tc>
          <w:tcPr>
            <w:tcW w:w="9026" w:type="dxa"/>
            <w:tcBorders>
              <w:top w:val="single" w:sz="4" w:space="0" w:color="000000"/>
              <w:start w:val="single" w:sz="4" w:space="0" w:color="000000"/>
              <w:bottom w:val="single" w:sz="4" w:space="0" w:color="000000"/>
              <w:end w:val="single" w:sz="4" w:space="0" w:color="000000"/>
            </w:tcBorders>
          </w:tcPr>
          <w:p>
            <w:pPr>
              <w:pStyle w:val="Normal1"/>
              <w:spacing w:lineRule="auto" w:line="240" w:before="120" w:after="120"/>
              <w:rPr>
                <w:b/>
                <w:bCs/>
              </w:rPr>
            </w:pPr>
            <w:r>
              <w:rPr>
                <w:b/>
                <w:bCs/>
              </w:rPr>
              <w:t>1. BACKGROUND</w:t>
            </w:r>
          </w:p>
        </w:tc>
      </w:tr>
    </w:tbl>
    <w:p>
      <w:pPr>
        <w:pStyle w:val="Normal1"/>
        <w:spacing w:lineRule="auto" w:line="240" w:before="120" w:after="120"/>
        <w:jc w:val="both"/>
        <w:rPr>
          <w:b/>
          <w:bCs/>
        </w:rPr>
      </w:pPr>
      <w:r>
        <w:rPr>
          <w:b/>
          <w:bCs/>
        </w:rPr>
        <w:t>1.1 About the Evidence Fund</w:t>
      </w:r>
    </w:p>
    <w:p>
      <w:pPr>
        <w:pStyle w:val="Normal1"/>
        <w:spacing w:lineRule="auto" w:line="240" w:before="120" w:after="120"/>
        <w:jc w:val="both"/>
        <w:rPr/>
      </w:pPr>
      <w:r>
        <w:rPr/>
        <w:t>The Foreign, Commonwealth &amp; Development Office (FCDO) wants accessible high-quality research, evaluation and evidence products which target policy, country-specific and regional priorities and are available for use by FCDO and the international development sector. FCDO’s Research and Evidence Directorate (RED) has as its mission to develop and deliver new technologies and innovations that can help solve development challenges, test high potential interventions, and support the delivery of His Majesty’s Government (HMG) objectives. The Evidence Fund is a co-ordinated effort to support a broad spectrum of FCDO’s evidence needs to inform policy and programming decisions. The expected impact of the programme is to help develop evidence-informed policies, programmes and practices which contribute to development outcomes.</w:t>
      </w:r>
    </w:p>
    <w:p>
      <w:pPr>
        <w:pStyle w:val="Normal1"/>
        <w:spacing w:lineRule="auto" w:line="240" w:before="120" w:after="120"/>
        <w:jc w:val="both"/>
        <w:rPr/>
      </w:pPr>
      <w:r>
        <w:rPr/>
        <w:t>In 2022, FCDO appointed PwC and Integrity as Fund Manager (FM) to oversee and manage the Evidence Fund. The Fund Manager’s primary responsibility is to manage procurement competitions for research and evaluation projects, conduct due diligence assessments on prospective sub- contracted Research Pool providers, where relevant, and ​​​​manage research and evaluation contracting.</w:t>
      </w:r>
    </w:p>
    <w:p>
      <w:pPr>
        <w:pStyle w:val="Normal1"/>
        <w:spacing w:lineRule="auto" w:line="240" w:before="120" w:after="120"/>
        <w:rPr>
          <w:b/>
        </w:rPr>
      </w:pPr>
      <w:r>
        <w:rPr>
          <w:b/>
        </w:rPr>
        <w:t>1.2 Details on the Research Context</w:t>
      </w:r>
    </w:p>
    <w:p>
      <w:pPr>
        <w:pStyle w:val="Normal1"/>
        <w:spacing w:lineRule="auto" w:line="240" w:before="120" w:after="120"/>
        <w:jc w:val="both"/>
        <w:rPr/>
      </w:pPr>
      <w:r>
        <w:rPr>
          <w:rStyle w:val="DefaultParagraphFont"/>
          <w:iCs/>
        </w:rPr>
        <w:t>The Kenya National Innovation Agency (KeNIA) is a state corporation under the State Department of Science, Research and Innovation, established by the Science, Technology and Innovation Act, 2013</w:t>
      </w:r>
      <w:r>
        <w:rPr>
          <w:rStyle w:val="FootnoteReference"/>
          <w:rStyle w:val="FootnoteReference"/>
          <w:iCs/>
        </w:rPr>
        <w:footnoteReference w:id="2"/>
      </w:r>
      <w:r>
        <w:rPr>
          <w:rStyle w:val="DefaultParagraphFont"/>
          <w:iCs/>
        </w:rPr>
        <w:t xml:space="preserve">. It plays a central role in coordinating Kenya’s national innovation ecosystem, promoting the commercialisation of research, and advising on innovation policy. KeNIA’s mandate includes fostering collaboration between academia, industry, government, and development partners to drive inclusive and sustainable innovation. </w:t>
      </w:r>
    </w:p>
    <w:p>
      <w:pPr>
        <w:pStyle w:val="Normal1"/>
        <w:spacing w:lineRule="auto" w:line="240" w:before="120" w:after="120"/>
        <w:jc w:val="both"/>
        <w:rPr/>
      </w:pPr>
      <w:r>
        <w:rPr>
          <w:rStyle w:val="DefaultParagraphFont"/>
          <w:iCs/>
        </w:rPr>
        <w:t>Since its inception in 2020, KeNIA has partnered closely with the UK Foreign, Commonwealth &amp; Development Office (FCDO) to strengthen Kenya’s innovation landscape. This collaboration has supported the development of the Kenya 10-Year National Innovation Masterplan</w:t>
      </w:r>
      <w:r>
        <w:rPr>
          <w:rStyle w:val="FootnoteReference"/>
          <w:rStyle w:val="FootnoteReference"/>
          <w:iCs/>
        </w:rPr>
        <w:footnoteReference w:id="3"/>
      </w:r>
      <w:r>
        <w:rPr>
          <w:rStyle w:val="DefaultParagraphFont"/>
          <w:iCs/>
        </w:rPr>
        <w:t>, which outlines strategic pillars Human Capital, Access to Finance, Access to Markets, Infrastructure, and Policy to guide the country’s transition to a knowledge-based economy.</w:t>
      </w:r>
    </w:p>
    <w:p>
      <w:pPr>
        <w:pStyle w:val="Normal1"/>
        <w:spacing w:lineRule="auto" w:line="240" w:before="120" w:after="120"/>
        <w:jc w:val="both"/>
        <w:rPr>
          <w:iCs/>
        </w:rPr>
      </w:pPr>
      <w:r>
        <w:rPr>
          <w:iCs/>
        </w:rPr>
        <w:t>The UK has also supported institutional capacity building for promoting Research to Commercialisation (R2C), and co-funded initiatives with the British Council, such as the Network of Entrepreneurial Institutional Leaders (NEIL), which aims to enhance entrepreneurial leadership across Kenyan universities. Most recently, the UK and KeNIA have collaborated on the development of Innovation Clusters, designed to decentralise innovation activity and catalyse regional economic growth. These clusters will rely heavily on increased R&amp;D investment, particularly from the private sector, making this research timely and essential.</w:t>
      </w:r>
    </w:p>
    <w:p>
      <w:pPr>
        <w:pStyle w:val="Normal1"/>
        <w:spacing w:lineRule="auto" w:line="240" w:before="120" w:after="120"/>
        <w:jc w:val="both"/>
        <w:rPr/>
      </w:pPr>
      <w:r>
        <w:rPr/>
      </w:r>
    </w:p>
    <w:tbl>
      <w:tblPr>
        <w:tblW w:w="5000" w:type="pct"/>
        <w:jc w:val="start"/>
        <w:tblInd w:w="-5" w:type="dxa"/>
        <w:tblLayout w:type="fixed"/>
        <w:tblCellMar>
          <w:top w:w="0" w:type="dxa"/>
          <w:start w:w="108" w:type="dxa"/>
          <w:bottom w:w="0" w:type="dxa"/>
          <w:end w:w="108" w:type="dxa"/>
        </w:tblCellMar>
      </w:tblPr>
      <w:tblGrid>
        <w:gridCol w:w="9026"/>
      </w:tblGrid>
      <w:tr>
        <w:trPr/>
        <w:tc>
          <w:tcPr>
            <w:tcW w:w="9026" w:type="dxa"/>
            <w:tcBorders>
              <w:top w:val="single" w:sz="4" w:space="0" w:color="000000"/>
              <w:start w:val="single" w:sz="4" w:space="0" w:color="000000"/>
              <w:bottom w:val="single" w:sz="4" w:space="0" w:color="000000"/>
              <w:end w:val="single" w:sz="4" w:space="0" w:color="000000"/>
            </w:tcBorders>
          </w:tcPr>
          <w:p>
            <w:pPr>
              <w:pStyle w:val="Normal1"/>
              <w:spacing w:lineRule="auto" w:line="240" w:before="120" w:after="120"/>
              <w:rPr>
                <w:b/>
                <w:bCs/>
              </w:rPr>
            </w:pPr>
            <w:r>
              <w:rPr>
                <w:b/>
                <w:bCs/>
              </w:rPr>
              <w:t>2. KEY EVIDENCE GAPS</w:t>
            </w:r>
          </w:p>
        </w:tc>
      </w:tr>
    </w:tbl>
    <w:p>
      <w:pPr>
        <w:pStyle w:val="Normal1"/>
        <w:spacing w:lineRule="auto" w:line="240" w:before="120" w:after="120"/>
        <w:jc w:val="both"/>
        <w:rPr>
          <w:iCs/>
        </w:rPr>
      </w:pPr>
      <w:r>
        <w:rPr>
          <w:iCs/>
        </w:rPr>
        <w:t>Research and development (R&amp;D) and innovation are universally recognised as engines of economic growth, productivity, and global competitiveness. Countries that invest strategically in R&amp;D are better positioned to develop new technologies, diversify their economies, and create high-value employment opportunities. In Kenya, however, domestic investment in R&amp;D remains critically low estimated at 0.8% of GDP, well below the African Union’s 1% target and Kenya’s own ambition of 2%. This underinvestment limits the country’s ability to generate home-grown innovations and constrains its participation in the global knowledge economy.</w:t>
      </w:r>
    </w:p>
    <w:p>
      <w:pPr>
        <w:pStyle w:val="Normal1"/>
        <w:spacing w:lineRule="auto" w:line="240" w:before="120" w:after="120"/>
        <w:jc w:val="both"/>
        <w:rPr>
          <w:iCs/>
        </w:rPr>
      </w:pPr>
      <w:r>
        <w:rPr>
          <w:iCs/>
        </w:rPr>
        <w:t>A major barrier to increased private sector investment in R&amp;D is the absence of targeted fiscal incentives. While Kenya offers general tax breaks to attract foreign direct investment such as reduced corporate tax rates, investment deductions, and exemptions for firms operating in Export Processing Zones (EPZs) and Special Economic Zones (SEZs) these incentives are not designed to stimulate innovation or long-term R&amp;D activities. As a result, firms often prioritise short-term profitability over strategic innovation, perpetuating a cycle of low investment, limited technological advancement, and slow economic transformation.</w:t>
      </w:r>
    </w:p>
    <w:p>
      <w:pPr>
        <w:pStyle w:val="Normal1"/>
        <w:spacing w:lineRule="auto" w:line="240" w:before="120" w:after="120"/>
        <w:jc w:val="both"/>
        <w:rPr>
          <w:iCs/>
        </w:rPr>
      </w:pPr>
      <w:r>
        <w:rPr>
          <w:iCs/>
        </w:rPr>
        <w:t xml:space="preserve">Moreover, there are significant evidence gaps regarding what works to stimulate private sector R&amp;D investment in Kenya and across Sub-Saharan Africa. There is limited data on the effectiveness of fiscal instruments such as R&amp;D tax credits, super-deductions, and innovation grants, and little understanding of how these interact with broader factors like regulatory frameworks, access to finance, and local research capacity. Without this evidence, policymakers lack the tools to design effective, context-specific incentives that can unlock private sector participation, foster industry-academia collaboration, and drive sustainable innovation-led growth. </w:t>
      </w:r>
    </w:p>
    <w:p>
      <w:pPr>
        <w:pStyle w:val="Normal1"/>
        <w:spacing w:lineRule="auto" w:line="240" w:before="120" w:after="120"/>
        <w:jc w:val="both"/>
        <w:rPr>
          <w:iCs/>
        </w:rPr>
      </w:pPr>
      <w:r>
        <w:rPr>
          <w:iCs/>
        </w:rPr>
        <w:t>This research seeks to address these gaps by generating actionable insights that can inform Kenya’s fiscal policy to enhance investment in R&amp;D and implementation of its national innovation masterplan, particularly in support of emerging initiatives such as Innovation Clusters. This assignment will align with the mandate of FCDO’s East Africa Research and Innovation Hub (EARIH) to strengthen evidence-based policymaking and evaluation in the region. The focus is on generating actionable insights that will enable the private sector to invest in national R&amp;D in Kenya in a way that can drive inclusive and sustainable economic growth.</w:t>
      </w:r>
    </w:p>
    <w:p>
      <w:pPr>
        <w:pStyle w:val="Normal1"/>
        <w:spacing w:lineRule="auto" w:line="240" w:before="120" w:after="120"/>
        <w:jc w:val="both"/>
        <w:rPr>
          <w:iCs/>
        </w:rPr>
      </w:pPr>
      <w:r>
        <w:rPr>
          <w:iCs/>
        </w:rPr>
      </w:r>
    </w:p>
    <w:tbl>
      <w:tblPr>
        <w:tblW w:w="5000" w:type="pct"/>
        <w:jc w:val="start"/>
        <w:tblInd w:w="-5" w:type="dxa"/>
        <w:tblLayout w:type="fixed"/>
        <w:tblCellMar>
          <w:top w:w="0" w:type="dxa"/>
          <w:start w:w="108" w:type="dxa"/>
          <w:bottom w:w="0" w:type="dxa"/>
          <w:end w:w="108" w:type="dxa"/>
        </w:tblCellMar>
      </w:tblPr>
      <w:tblGrid>
        <w:gridCol w:w="9026"/>
      </w:tblGrid>
      <w:tr>
        <w:trPr/>
        <w:tc>
          <w:tcPr>
            <w:tcW w:w="9026" w:type="dxa"/>
            <w:tcBorders>
              <w:top w:val="single" w:sz="4" w:space="0" w:color="000000"/>
              <w:start w:val="single" w:sz="4" w:space="0" w:color="000000"/>
              <w:bottom w:val="single" w:sz="4" w:space="0" w:color="000000"/>
              <w:end w:val="single" w:sz="4" w:space="0" w:color="000000"/>
            </w:tcBorders>
          </w:tcPr>
          <w:p>
            <w:pPr>
              <w:pStyle w:val="Normal1"/>
              <w:spacing w:lineRule="auto" w:line="240" w:before="120" w:after="120"/>
              <w:rPr>
                <w:b/>
                <w:bCs/>
              </w:rPr>
            </w:pPr>
            <w:r>
              <w:rPr>
                <w:b/>
                <w:bCs/>
              </w:rPr>
              <w:t>3. OBJECTIVES AND SCOPE OF WORK</w:t>
            </w:r>
          </w:p>
        </w:tc>
      </w:tr>
    </w:tbl>
    <w:p>
      <w:pPr>
        <w:pStyle w:val="Normal1"/>
        <w:spacing w:lineRule="auto" w:line="240" w:before="120" w:after="120"/>
        <w:rPr>
          <w:u w:val="single"/>
        </w:rPr>
      </w:pPr>
      <w:r>
        <w:rPr>
          <w:u w:val="single"/>
        </w:rPr>
        <w:t>3.1. Objectives</w:t>
      </w:r>
    </w:p>
    <w:p>
      <w:pPr>
        <w:pStyle w:val="Normal1"/>
        <w:spacing w:lineRule="auto" w:line="240" w:before="120" w:after="120"/>
        <w:jc w:val="both"/>
        <w:rPr/>
      </w:pPr>
      <w:r>
        <w:rPr/>
        <w:t>The overarching objective for this study is to understand what kind of fiscal incentive options could be most appropriate and effective for Kenya to stimulate increased private sector investment in innovation, research and development, and how can these be implemented within the existing policy and economic context?</w:t>
      </w:r>
    </w:p>
    <w:p>
      <w:pPr>
        <w:pStyle w:val="Normal1"/>
        <w:spacing w:lineRule="auto" w:line="240" w:before="120" w:after="120"/>
        <w:jc w:val="both"/>
        <w:rPr>
          <w:iCs/>
        </w:rPr>
      </w:pPr>
      <w:r>
        <w:rPr>
          <w:iCs/>
        </w:rPr>
        <w:t>The study aims to:</w:t>
      </w:r>
    </w:p>
    <w:p>
      <w:pPr>
        <w:pStyle w:val="ListParagraph"/>
        <w:numPr>
          <w:ilvl w:val="0"/>
          <w:numId w:val="2"/>
        </w:numPr>
        <w:spacing w:lineRule="auto" w:line="240" w:before="120" w:after="120"/>
        <w:contextualSpacing w:val="false"/>
        <w:rPr>
          <w:iCs/>
        </w:rPr>
      </w:pPr>
      <w:r>
        <w:rPr>
          <w:iCs/>
        </w:rPr>
        <w:t>Analyse the current fiscal regime and policies in Kenya with respect to R&amp;D and innovation investment, including identifying barriers and gaps that limit domestic and foreign private sector investment in research and innovation.</w:t>
      </w:r>
    </w:p>
    <w:p>
      <w:pPr>
        <w:pStyle w:val="Normal1"/>
        <w:numPr>
          <w:ilvl w:val="0"/>
          <w:numId w:val="2"/>
        </w:numPr>
        <w:spacing w:lineRule="auto" w:line="240" w:before="120" w:after="120"/>
        <w:jc w:val="both"/>
        <w:rPr>
          <w:iCs/>
        </w:rPr>
      </w:pPr>
      <w:r>
        <w:rPr>
          <w:iCs/>
        </w:rPr>
        <w:t xml:space="preserve">Assess and evaluate fiscal incentive mechanisms that are being used regionally and globally (particularly by those countries with high levels of R&amp;D investment and with high positions in the Global Innovation Index (GII)  and set out options for how these could be adapted and applied to the Kenyan context. </w:t>
      </w:r>
    </w:p>
    <w:p>
      <w:pPr>
        <w:pStyle w:val="Normal1"/>
        <w:numPr>
          <w:ilvl w:val="0"/>
          <w:numId w:val="2"/>
        </w:numPr>
        <w:spacing w:lineRule="auto" w:line="240" w:before="120" w:after="120"/>
        <w:jc w:val="both"/>
        <w:rPr>
          <w:iCs/>
        </w:rPr>
      </w:pPr>
      <w:r>
        <w:rPr>
          <w:iCs/>
        </w:rPr>
        <w:t>Provide a set of possible evidence-based options for fiscal incentives that could be implemented within Kenya’s current policy and economic frameworks.</w:t>
      </w:r>
    </w:p>
    <w:p>
      <w:pPr>
        <w:pStyle w:val="Normal1"/>
        <w:numPr>
          <w:ilvl w:val="0"/>
          <w:numId w:val="2"/>
        </w:numPr>
        <w:spacing w:lineRule="auto" w:line="240" w:before="120" w:after="120"/>
        <w:jc w:val="both"/>
        <w:rPr>
          <w:iCs/>
        </w:rPr>
      </w:pPr>
      <w:r>
        <w:rPr>
          <w:iCs/>
        </w:rPr>
        <w:t>Support KeNIA’s advocacy efforts with the National Treasury and the Office of the President to promote a more enabling environment for innovation.</w:t>
      </w:r>
    </w:p>
    <w:p>
      <w:pPr>
        <w:pStyle w:val="Normal1"/>
        <w:spacing w:lineRule="auto" w:line="240" w:before="120" w:after="120"/>
        <w:jc w:val="both"/>
        <w:rPr>
          <w:b/>
          <w:bCs/>
          <w:iCs/>
        </w:rPr>
      </w:pPr>
      <w:r>
        <w:rPr>
          <w:b/>
          <w:bCs/>
          <w:iCs/>
        </w:rPr>
        <w:t>Recipients and beneficiaries</w:t>
      </w:r>
    </w:p>
    <w:p>
      <w:pPr>
        <w:pStyle w:val="Normal1"/>
        <w:numPr>
          <w:ilvl w:val="0"/>
          <w:numId w:val="3"/>
        </w:numPr>
        <w:spacing w:lineRule="auto" w:line="240" w:before="120" w:after="120"/>
        <w:jc w:val="both"/>
        <w:rPr>
          <w:iCs/>
        </w:rPr>
      </w:pPr>
      <w:r>
        <w:rPr>
          <w:iCs/>
        </w:rPr>
        <w:t>Primary recipient: Kenya National Innovation Agency (KeNIA)</w:t>
      </w:r>
    </w:p>
    <w:p>
      <w:pPr>
        <w:pStyle w:val="Normal1"/>
        <w:numPr>
          <w:ilvl w:val="0"/>
          <w:numId w:val="3"/>
        </w:numPr>
        <w:spacing w:lineRule="auto" w:line="240" w:before="120" w:after="120"/>
        <w:jc w:val="both"/>
        <w:rPr>
          <w:iCs/>
        </w:rPr>
      </w:pPr>
      <w:r>
        <w:rPr>
          <w:iCs/>
        </w:rPr>
        <w:t>Secondary beneficiaries: FCDO, National Treasury, Office of the President, academic institutions, private sector actors, and innovation ecosystem stakeholders.</w:t>
      </w:r>
    </w:p>
    <w:p>
      <w:pPr>
        <w:pStyle w:val="Normal1"/>
        <w:spacing w:lineRule="auto" w:line="240" w:before="120" w:after="120"/>
        <w:jc w:val="both"/>
        <w:rPr/>
      </w:pPr>
      <w:r>
        <w:rPr>
          <w:rStyle w:val="DefaultParagraphFont"/>
          <w:b/>
          <w:bCs/>
          <w:iCs/>
        </w:rPr>
        <w:t>Deliverables will be used to</w:t>
      </w:r>
      <w:r>
        <w:rPr>
          <w:rStyle w:val="DefaultParagraphFont"/>
          <w:iCs/>
        </w:rPr>
        <w:t>:</w:t>
      </w:r>
    </w:p>
    <w:p>
      <w:pPr>
        <w:pStyle w:val="Normal1"/>
        <w:numPr>
          <w:ilvl w:val="0"/>
          <w:numId w:val="4"/>
        </w:numPr>
        <w:spacing w:lineRule="auto" w:line="240" w:before="120" w:after="120"/>
        <w:jc w:val="both"/>
        <w:rPr>
          <w:iCs/>
        </w:rPr>
      </w:pPr>
      <w:r>
        <w:rPr>
          <w:iCs/>
        </w:rPr>
        <w:t>Guide policy dialogue and fiscal reform.</w:t>
      </w:r>
    </w:p>
    <w:p>
      <w:pPr>
        <w:pStyle w:val="Normal1"/>
        <w:numPr>
          <w:ilvl w:val="0"/>
          <w:numId w:val="4"/>
        </w:numPr>
        <w:spacing w:lineRule="auto" w:line="240" w:before="120" w:after="120"/>
        <w:jc w:val="both"/>
        <w:rPr>
          <w:iCs/>
        </w:rPr>
      </w:pPr>
      <w:r>
        <w:rPr>
          <w:iCs/>
        </w:rPr>
        <w:t>Inform programme development and investment strategies.</w:t>
      </w:r>
    </w:p>
    <w:p>
      <w:pPr>
        <w:pStyle w:val="Normal1"/>
        <w:numPr>
          <w:ilvl w:val="0"/>
          <w:numId w:val="4"/>
        </w:numPr>
        <w:spacing w:lineRule="auto" w:line="240" w:before="120" w:after="120"/>
        <w:jc w:val="both"/>
        <w:rPr>
          <w:iCs/>
        </w:rPr>
      </w:pPr>
      <w:r>
        <w:rPr>
          <w:iCs/>
        </w:rPr>
        <w:t>Support stakeholder engagement and capacity building.</w:t>
      </w:r>
    </w:p>
    <w:p>
      <w:pPr>
        <w:pStyle w:val="Normal1"/>
        <w:spacing w:lineRule="auto" w:line="240" w:before="120" w:after="120"/>
        <w:jc w:val="both"/>
        <w:rPr>
          <w:b/>
          <w:bCs/>
          <w:iCs/>
        </w:rPr>
      </w:pPr>
      <w:r>
        <w:rPr>
          <w:b/>
          <w:bCs/>
          <w:iCs/>
        </w:rPr>
        <w:t>Limitations and sensitivities</w:t>
      </w:r>
    </w:p>
    <w:p>
      <w:pPr>
        <w:pStyle w:val="Normal1"/>
        <w:spacing w:lineRule="auto" w:line="240" w:before="120" w:after="120"/>
        <w:jc w:val="both"/>
        <w:rPr>
          <w:iCs/>
        </w:rPr>
      </w:pPr>
      <w:r>
        <w:rPr>
          <w:iCs/>
        </w:rPr>
        <w:t>Prospective suppliers should be aware of:</w:t>
      </w:r>
    </w:p>
    <w:p>
      <w:pPr>
        <w:pStyle w:val="Normal1"/>
        <w:numPr>
          <w:ilvl w:val="0"/>
          <w:numId w:val="5"/>
        </w:numPr>
        <w:spacing w:lineRule="auto" w:line="240" w:before="120" w:after="120"/>
        <w:jc w:val="both"/>
        <w:rPr>
          <w:iCs/>
        </w:rPr>
      </w:pPr>
      <w:r>
        <w:rPr>
          <w:iCs/>
        </w:rPr>
        <w:t>Limited availability of disaggregated data on private sector R&amp;D investment.</w:t>
      </w:r>
    </w:p>
    <w:p>
      <w:pPr>
        <w:pStyle w:val="Normal1"/>
        <w:numPr>
          <w:ilvl w:val="0"/>
          <w:numId w:val="5"/>
        </w:numPr>
        <w:spacing w:lineRule="auto" w:line="240" w:before="120" w:after="120"/>
        <w:jc w:val="both"/>
        <w:rPr>
          <w:iCs/>
        </w:rPr>
      </w:pPr>
      <w:r>
        <w:rPr>
          <w:iCs/>
        </w:rPr>
        <w:t>Potential sensitivities around fiscal policy reform and government budget allocations.</w:t>
      </w:r>
    </w:p>
    <w:p>
      <w:pPr>
        <w:pStyle w:val="Normal1"/>
        <w:numPr>
          <w:ilvl w:val="0"/>
          <w:numId w:val="5"/>
        </w:numPr>
        <w:spacing w:lineRule="auto" w:line="240" w:before="120" w:after="120"/>
        <w:jc w:val="both"/>
        <w:rPr>
          <w:iCs/>
        </w:rPr>
      </w:pPr>
      <w:r>
        <w:rPr>
          <w:iCs/>
        </w:rPr>
        <w:t>The need to navigate complex stakeholder dynamics and inter-agency coordination.</w:t>
      </w:r>
    </w:p>
    <w:p>
      <w:pPr>
        <w:pStyle w:val="Normal1"/>
        <w:keepNext w:val="true"/>
        <w:keepLines/>
        <w:widowControl w:val="false"/>
        <w:spacing w:lineRule="auto" w:line="240" w:before="120" w:after="120"/>
        <w:jc w:val="both"/>
        <w:rPr>
          <w:b/>
          <w:bCs/>
          <w:iCs/>
        </w:rPr>
      </w:pPr>
      <w:r>
        <w:rPr>
          <w:b/>
          <w:bCs/>
          <w:iCs/>
        </w:rPr>
        <w:t>Uptake and dissemination</w:t>
      </w:r>
    </w:p>
    <w:p>
      <w:pPr>
        <w:pStyle w:val="Normal1"/>
        <w:keepNext w:val="true"/>
        <w:keepLines/>
        <w:widowControl w:val="false"/>
        <w:spacing w:lineRule="auto" w:line="240" w:before="120" w:after="120"/>
        <w:jc w:val="both"/>
        <w:rPr>
          <w:iCs/>
        </w:rPr>
      </w:pPr>
      <w:r>
        <w:rPr>
          <w:iCs/>
        </w:rPr>
        <w:t>The supplier will be expected to:</w:t>
      </w:r>
    </w:p>
    <w:p>
      <w:pPr>
        <w:pStyle w:val="Normal1"/>
        <w:numPr>
          <w:ilvl w:val="0"/>
          <w:numId w:val="6"/>
        </w:numPr>
        <w:spacing w:lineRule="auto" w:line="240" w:before="120" w:after="120"/>
        <w:jc w:val="both"/>
        <w:rPr>
          <w:iCs/>
        </w:rPr>
      </w:pPr>
      <w:r>
        <w:rPr>
          <w:iCs/>
        </w:rPr>
        <w:t>Present findings to KeNIA, FCDO, and relevant stakeholders.</w:t>
      </w:r>
    </w:p>
    <w:p>
      <w:pPr>
        <w:pStyle w:val="Normal1"/>
        <w:numPr>
          <w:ilvl w:val="0"/>
          <w:numId w:val="6"/>
        </w:numPr>
        <w:spacing w:lineRule="auto" w:line="240" w:before="120" w:after="120"/>
        <w:jc w:val="both"/>
        <w:rPr>
          <w:iCs/>
        </w:rPr>
      </w:pPr>
      <w:r>
        <w:rPr>
          <w:iCs/>
        </w:rPr>
        <w:t>Support development of a policy brief for dissemination to government and industry audiences.</w:t>
      </w:r>
    </w:p>
    <w:p>
      <w:pPr>
        <w:pStyle w:val="Normal1"/>
        <w:numPr>
          <w:ilvl w:val="0"/>
          <w:numId w:val="6"/>
        </w:numPr>
        <w:spacing w:lineRule="auto" w:line="240" w:before="120" w:after="120"/>
        <w:jc w:val="both"/>
        <w:rPr>
          <w:iCs/>
        </w:rPr>
      </w:pPr>
      <w:r>
        <w:rPr>
          <w:iCs/>
        </w:rPr>
        <w:t>Participate in a stakeholder validation workshop to refine recommendations.</w:t>
      </w:r>
    </w:p>
    <w:p>
      <w:pPr>
        <w:pStyle w:val="Normal1"/>
        <w:numPr>
          <w:ilvl w:val="0"/>
          <w:numId w:val="6"/>
        </w:numPr>
        <w:spacing w:lineRule="auto" w:line="240" w:before="120" w:after="120"/>
        <w:jc w:val="both"/>
        <w:rPr>
          <w:iCs/>
        </w:rPr>
      </w:pPr>
      <w:r>
        <w:rPr>
          <w:iCs/>
        </w:rPr>
        <w:t>Contribute to FCDO’s internal learning and reporting processes.</w:t>
      </w:r>
    </w:p>
    <w:p>
      <w:pPr>
        <w:pStyle w:val="Normal1"/>
        <w:spacing w:lineRule="auto" w:line="240" w:before="120" w:after="120"/>
        <w:rPr/>
      </w:pPr>
      <w:r>
        <w:rPr>
          <w:rStyle w:val="DefaultParagraphFont"/>
          <w:u w:val="single"/>
        </w:rPr>
        <w:t>3.2 Scope</w:t>
      </w:r>
    </w:p>
    <w:p>
      <w:pPr>
        <w:pStyle w:val="Normal1"/>
        <w:spacing w:lineRule="auto" w:line="240" w:before="120" w:after="120"/>
        <w:jc w:val="both"/>
        <w:rPr>
          <w:iCs/>
        </w:rPr>
      </w:pPr>
      <w:r>
        <w:rPr>
          <w:iCs/>
        </w:rPr>
        <w:t>The study will focus on Kenya, with comparative analysis drawn from selected countries (including high performing countries in the GII such as United Kingdom, Switzerland, Sweden, United States, South Korea, Singapore, Finland, Netherlands, Denmark and China) that have successfully implemented fiscal incentives for R&amp;D. The target population includes policymakers, private sector actors (particularly SMEs and innovation-driven enterprises), academic institutions, and innovation ecosystem stakeholders.</w:t>
      </w:r>
    </w:p>
    <w:p>
      <w:pPr>
        <w:pStyle w:val="Normal1"/>
        <w:spacing w:lineRule="auto" w:line="240" w:before="120" w:after="120"/>
        <w:jc w:val="both"/>
        <w:rPr>
          <w:iCs/>
        </w:rPr>
      </w:pPr>
      <w:r>
        <w:rPr>
          <w:iCs/>
        </w:rPr>
        <w:t>The anticipated level of effort will require:</w:t>
      </w:r>
    </w:p>
    <w:p>
      <w:pPr>
        <w:pStyle w:val="Normal1"/>
        <w:numPr>
          <w:ilvl w:val="0"/>
          <w:numId w:val="7"/>
        </w:numPr>
        <w:spacing w:lineRule="auto" w:line="240" w:before="120" w:after="120"/>
        <w:jc w:val="both"/>
        <w:rPr>
          <w:iCs/>
        </w:rPr>
      </w:pPr>
      <w:r>
        <w:rPr>
          <w:iCs/>
        </w:rPr>
        <w:t>In-depth policy and fiscal analysis</w:t>
      </w:r>
    </w:p>
    <w:p>
      <w:pPr>
        <w:pStyle w:val="Normal1"/>
        <w:numPr>
          <w:ilvl w:val="0"/>
          <w:numId w:val="7"/>
        </w:numPr>
        <w:spacing w:lineRule="auto" w:line="240" w:before="120" w:after="120"/>
        <w:jc w:val="both"/>
        <w:rPr>
          <w:iCs/>
        </w:rPr>
      </w:pPr>
      <w:r>
        <w:rPr>
          <w:iCs/>
        </w:rPr>
        <w:t>Stakeholder engagement and interviews</w:t>
      </w:r>
    </w:p>
    <w:p>
      <w:pPr>
        <w:pStyle w:val="Normal1"/>
        <w:numPr>
          <w:ilvl w:val="0"/>
          <w:numId w:val="7"/>
        </w:numPr>
        <w:spacing w:lineRule="auto" w:line="240" w:before="120" w:after="120"/>
        <w:jc w:val="both"/>
        <w:rPr>
          <w:iCs/>
        </w:rPr>
      </w:pPr>
      <w:r>
        <w:rPr>
          <w:iCs/>
        </w:rPr>
        <w:t>Comparative international case studies</w:t>
      </w:r>
    </w:p>
    <w:p>
      <w:pPr>
        <w:pStyle w:val="Normal1"/>
        <w:numPr>
          <w:ilvl w:val="0"/>
          <w:numId w:val="7"/>
        </w:numPr>
        <w:spacing w:lineRule="auto" w:line="240" w:before="120" w:after="120"/>
        <w:jc w:val="both"/>
        <w:rPr>
          <w:iCs/>
        </w:rPr>
      </w:pPr>
      <w:r>
        <w:rPr>
          <w:iCs/>
        </w:rPr>
        <w:t>Development of policy options and implementation guidance which incorporate gender equality and social inclusion considerations</w:t>
      </w:r>
    </w:p>
    <w:p>
      <w:pPr>
        <w:pStyle w:val="Normal1"/>
        <w:spacing w:lineRule="auto" w:line="240" w:before="120" w:after="120"/>
        <w:jc w:val="both"/>
        <w:rPr/>
      </w:pPr>
      <w:r>
        <w:rPr>
          <w:rStyle w:val="DefaultParagraphFont"/>
          <w:iCs/>
        </w:rPr>
        <w:t xml:space="preserve">The expected duration of the research is </w:t>
      </w:r>
      <w:r>
        <w:rPr>
          <w:rStyle w:val="DefaultParagraphFont"/>
          <w:iCs/>
          <w:lang w:val="en-US"/>
        </w:rPr>
        <w:t xml:space="preserve">four months running from </w:t>
      </w:r>
      <w:r>
        <w:rPr>
          <w:rStyle w:val="DefaultParagraphFont"/>
          <w:iCs/>
        </w:rPr>
        <w:t>January to April 2026.</w:t>
      </w:r>
    </w:p>
    <w:p>
      <w:pPr>
        <w:pStyle w:val="Normal1"/>
        <w:spacing w:lineRule="auto" w:line="240" w:before="120" w:after="120"/>
        <w:rPr>
          <w:u w:val="single"/>
        </w:rPr>
      </w:pPr>
      <w:r>
        <w:rPr>
          <w:u w:val="single"/>
        </w:rPr>
        <w:t>3.3 Research/Evaluation Questions</w:t>
      </w:r>
    </w:p>
    <w:p>
      <w:pPr>
        <w:pStyle w:val="ListParagraph"/>
        <w:numPr>
          <w:ilvl w:val="0"/>
          <w:numId w:val="8"/>
        </w:numPr>
        <w:spacing w:lineRule="auto" w:line="240" w:before="120" w:after="120"/>
        <w:contextualSpacing w:val="false"/>
        <w:jc w:val="both"/>
        <w:rPr>
          <w:szCs w:val="18"/>
        </w:rPr>
      </w:pPr>
      <w:r>
        <w:rPr>
          <w:szCs w:val="18"/>
        </w:rPr>
        <w:t>What is the current fiscal regime in Kenya with respect to R&amp;D investment, and to what extent does it encourage or discourage private sector participation in research and innovation?</w:t>
      </w:r>
    </w:p>
    <w:p>
      <w:pPr>
        <w:pStyle w:val="ListParagraph"/>
        <w:numPr>
          <w:ilvl w:val="1"/>
          <w:numId w:val="8"/>
        </w:numPr>
        <w:spacing w:lineRule="auto" w:line="240" w:before="120" w:after="120"/>
        <w:contextualSpacing w:val="false"/>
        <w:jc w:val="both"/>
        <w:rPr>
          <w:szCs w:val="18"/>
        </w:rPr>
      </w:pPr>
      <w:r>
        <w:rPr>
          <w:szCs w:val="18"/>
        </w:rPr>
        <w:t>What fiscal policies and incentives currently exist to support R&amp;D and how do they compare in design, eligibility, and uptake?</w:t>
      </w:r>
    </w:p>
    <w:p>
      <w:pPr>
        <w:pStyle w:val="ListParagraph"/>
        <w:numPr>
          <w:ilvl w:val="1"/>
          <w:numId w:val="8"/>
        </w:numPr>
        <w:spacing w:lineRule="auto" w:line="240" w:before="120" w:after="120"/>
        <w:contextualSpacing w:val="false"/>
        <w:jc w:val="both"/>
        <w:rPr>
          <w:szCs w:val="18"/>
        </w:rPr>
      </w:pPr>
      <w:r>
        <w:rPr>
          <w:szCs w:val="18"/>
        </w:rPr>
        <w:t>What policy options could incentivize private-sector R&amp;D investment, and what evidence supports their likely impact and feasibility locally?</w:t>
      </w:r>
    </w:p>
    <w:p>
      <w:pPr>
        <w:pStyle w:val="ListParagraph"/>
        <w:numPr>
          <w:ilvl w:val="1"/>
          <w:numId w:val="8"/>
        </w:numPr>
        <w:spacing w:lineRule="auto" w:line="240" w:before="120" w:after="120"/>
        <w:contextualSpacing w:val="false"/>
        <w:jc w:val="both"/>
        <w:rPr>
          <w:szCs w:val="18"/>
        </w:rPr>
      </w:pPr>
      <w:r>
        <w:rPr>
          <w:szCs w:val="18"/>
        </w:rPr>
        <w:t xml:space="preserve">Who are the main players? </w:t>
      </w:r>
    </w:p>
    <w:p>
      <w:pPr>
        <w:pStyle w:val="ListParagraph"/>
        <w:numPr>
          <w:ilvl w:val="0"/>
          <w:numId w:val="8"/>
        </w:numPr>
        <w:spacing w:lineRule="auto" w:line="240" w:before="120" w:after="120"/>
        <w:contextualSpacing w:val="false"/>
        <w:jc w:val="both"/>
        <w:rPr/>
      </w:pPr>
      <w:r>
        <w:rPr>
          <w:rStyle w:val="DefaultParagraphFont"/>
          <w:szCs w:val="18"/>
        </w:rPr>
        <w:t>What are the main barriers and gaps within Kenya’s existing fiscal policies that limit domestic and foreign investment in R&amp;D, particularly from the private sector?</w:t>
      </w:r>
      <w:r>
        <w:rPr>
          <w:rStyle w:val="DefaultParagraphFont"/>
          <w:szCs w:val="18"/>
          <w:lang w:val="en-US"/>
        </w:rPr>
        <w:t xml:space="preserve"> In this regard:</w:t>
      </w:r>
    </w:p>
    <w:p>
      <w:pPr>
        <w:pStyle w:val="ListParagraph"/>
        <w:numPr>
          <w:ilvl w:val="1"/>
          <w:numId w:val="8"/>
        </w:numPr>
        <w:spacing w:lineRule="auto" w:line="240" w:before="120" w:after="120"/>
        <w:contextualSpacing w:val="false"/>
        <w:jc w:val="both"/>
        <w:rPr>
          <w:szCs w:val="18"/>
        </w:rPr>
      </w:pPr>
      <w:r>
        <w:rPr>
          <w:szCs w:val="18"/>
        </w:rPr>
        <w:t>What structural, regulatory, market, and institutional factors explain persistently low domestic R&amp;D investment?</w:t>
      </w:r>
    </w:p>
    <w:p>
      <w:pPr>
        <w:pStyle w:val="ListParagraph"/>
        <w:numPr>
          <w:ilvl w:val="1"/>
          <w:numId w:val="8"/>
        </w:numPr>
        <w:spacing w:lineRule="auto" w:line="240" w:before="120" w:after="120"/>
        <w:contextualSpacing w:val="false"/>
        <w:jc w:val="both"/>
        <w:rPr>
          <w:szCs w:val="18"/>
        </w:rPr>
      </w:pPr>
      <w:r>
        <w:rPr>
          <w:szCs w:val="18"/>
        </w:rPr>
        <w:t>What is known about the effectiveness of current instruments in Kenya, including enabling conditions and unintended effects?</w:t>
      </w:r>
    </w:p>
    <w:p>
      <w:pPr>
        <w:pStyle w:val="Normal1"/>
        <w:spacing w:lineRule="auto" w:line="240" w:before="120" w:after="120"/>
        <w:jc w:val="both"/>
        <w:rPr>
          <w:sz w:val="20"/>
          <w:szCs w:val="20"/>
        </w:rPr>
      </w:pPr>
      <w:r>
        <w:rPr>
          <w:sz w:val="20"/>
          <w:szCs w:val="20"/>
        </w:rPr>
      </w:r>
    </w:p>
    <w:p>
      <w:pPr>
        <w:pStyle w:val="ListParagraph"/>
        <w:numPr>
          <w:ilvl w:val="0"/>
          <w:numId w:val="8"/>
        </w:numPr>
        <w:spacing w:lineRule="auto" w:line="240" w:before="120" w:after="120"/>
        <w:contextualSpacing w:val="false"/>
        <w:jc w:val="both"/>
        <w:rPr/>
      </w:pPr>
      <w:r>
        <w:rPr>
          <w:rStyle w:val="DefaultParagraphFont"/>
          <w:szCs w:val="18"/>
        </w:rPr>
        <w:t>What alternative fiscal incentive models have been successfully implemented in other countries, and how could these be adapted to the Kenyan context?</w:t>
      </w:r>
      <w:r>
        <w:rPr>
          <w:rStyle w:val="DefaultParagraphFont"/>
          <w:szCs w:val="18"/>
          <w:lang w:val="en-US"/>
        </w:rPr>
        <w:t xml:space="preserve"> In this regard:</w:t>
      </w:r>
    </w:p>
    <w:p>
      <w:pPr>
        <w:pStyle w:val="ListParagraph"/>
        <w:numPr>
          <w:ilvl w:val="1"/>
          <w:numId w:val="8"/>
        </w:numPr>
        <w:spacing w:lineRule="auto" w:line="240" w:before="120" w:after="120"/>
        <w:contextualSpacing w:val="false"/>
        <w:jc w:val="both"/>
        <w:rPr>
          <w:szCs w:val="18"/>
        </w:rPr>
      </w:pPr>
      <w:r>
        <w:rPr>
          <w:szCs w:val="18"/>
        </w:rPr>
        <w:t>What is known about the effectiveness of these instruments in comparable contexts (regionally and globally), including enabling conditions and unintended effects?</w:t>
      </w:r>
    </w:p>
    <w:p>
      <w:pPr>
        <w:pStyle w:val="ListParagraph"/>
        <w:numPr>
          <w:ilvl w:val="0"/>
          <w:numId w:val="8"/>
        </w:numPr>
        <w:spacing w:lineRule="auto" w:line="240" w:before="120" w:after="120"/>
        <w:contextualSpacing w:val="false"/>
        <w:jc w:val="both"/>
        <w:rPr/>
      </w:pPr>
      <w:r>
        <w:rPr>
          <w:rStyle w:val="DefaultParagraphFont"/>
          <w:szCs w:val="18"/>
        </w:rPr>
        <w:t>What are the potential impacts, costs, and administrative considerations of introducing targeted fiscal incentives for R&amp;D in Kenya, and how might these options interact with other elements of the business and innovation environment?</w:t>
      </w:r>
      <w:r>
        <w:rPr>
          <w:rStyle w:val="DefaultParagraphFont"/>
          <w:szCs w:val="18"/>
          <w:lang w:val="en-US"/>
        </w:rPr>
        <w:t xml:space="preserve"> In this regard,</w:t>
      </w:r>
    </w:p>
    <w:p>
      <w:pPr>
        <w:pStyle w:val="ListParagraph"/>
        <w:numPr>
          <w:ilvl w:val="1"/>
          <w:numId w:val="8"/>
        </w:numPr>
        <w:spacing w:lineRule="auto" w:line="240" w:before="120" w:after="120"/>
        <w:contextualSpacing w:val="false"/>
        <w:jc w:val="both"/>
        <w:rPr>
          <w:szCs w:val="18"/>
        </w:rPr>
      </w:pPr>
      <w:r>
        <w:rPr>
          <w:szCs w:val="18"/>
        </w:rPr>
        <w:t>What policy options could incentivize private-sector R&amp;D investment, and what evidence supports their likely impact and feasibility locally?</w:t>
      </w:r>
    </w:p>
    <w:p>
      <w:pPr>
        <w:pStyle w:val="ListParagraph"/>
        <w:numPr>
          <w:ilvl w:val="1"/>
          <w:numId w:val="8"/>
        </w:numPr>
        <w:spacing w:lineRule="auto" w:line="240" w:before="120" w:after="120"/>
        <w:contextualSpacing w:val="false"/>
        <w:jc w:val="both"/>
        <w:rPr>
          <w:szCs w:val="18"/>
        </w:rPr>
      </w:pPr>
      <w:r>
        <w:rPr>
          <w:szCs w:val="18"/>
        </w:rPr>
        <w:t>What are the expected outcomes, risks, and implementation challenges of proposed instruments?</w:t>
      </w:r>
    </w:p>
    <w:p>
      <w:pPr>
        <w:pStyle w:val="Normal1"/>
        <w:spacing w:lineRule="auto" w:line="240" w:before="120" w:after="120"/>
        <w:rPr>
          <w:u w:val="single"/>
        </w:rPr>
      </w:pPr>
      <w:r>
        <w:rPr>
          <w:u w:val="single"/>
        </w:rPr>
        <w:t>3.3 Research/Evaluation Methodology</w:t>
      </w:r>
    </w:p>
    <w:p>
      <w:pPr>
        <w:pStyle w:val="Normal1"/>
        <w:spacing w:lineRule="auto" w:line="240" w:before="120" w:after="120"/>
        <w:jc w:val="both"/>
        <w:rPr>
          <w:iCs/>
        </w:rPr>
      </w:pPr>
      <w:r>
        <w:rPr>
          <w:iCs/>
        </w:rPr>
        <w:t>A mixed-methods approach is recommended for this study, combining desk-based policy analysis, stakeholder consultations, comparative case studies, and quantitative and qualitative data analysis. This methodology will enable a comprehensive understanding of Kenya’s current fiscal environment for R&amp;D, draw lessons from international best practice, and ensure that proposed policy options are evidence-based, contextually relevant, and supported by key stakeholders.</w:t>
      </w:r>
    </w:p>
    <w:p>
      <w:pPr>
        <w:pStyle w:val="Normal1"/>
        <w:spacing w:lineRule="auto" w:line="240" w:before="120" w:after="120"/>
        <w:jc w:val="both"/>
        <w:rPr/>
      </w:pPr>
      <w:r>
        <w:rPr>
          <w:rStyle w:val="DefaultParagraphFont"/>
          <w:iCs/>
          <w:lang w:val="en-US"/>
        </w:rPr>
        <w:t>The s</w:t>
      </w:r>
      <w:r>
        <w:rPr>
          <w:rStyle w:val="DefaultParagraphFont"/>
          <w:iCs/>
        </w:rPr>
        <w:t xml:space="preserve">uggested methodology could include: </w:t>
      </w:r>
    </w:p>
    <w:p>
      <w:pPr>
        <w:pStyle w:val="ListParagraph"/>
        <w:numPr>
          <w:ilvl w:val="0"/>
          <w:numId w:val="9"/>
        </w:numPr>
        <w:spacing w:lineRule="auto" w:line="240" w:before="120" w:after="120"/>
        <w:contextualSpacing w:val="false"/>
        <w:jc w:val="both"/>
        <w:rPr>
          <w:b/>
          <w:bCs/>
          <w:iCs/>
        </w:rPr>
      </w:pPr>
      <w:r>
        <w:rPr>
          <w:b/>
          <w:bCs/>
          <w:iCs/>
        </w:rPr>
        <w:t>Desk review and policy analysis</w:t>
      </w:r>
    </w:p>
    <w:p>
      <w:pPr>
        <w:pStyle w:val="Normal1"/>
        <w:spacing w:lineRule="auto" w:line="240" w:before="120" w:after="120"/>
        <w:jc w:val="both"/>
        <w:rPr/>
      </w:pPr>
      <w:r>
        <w:rPr>
          <w:rStyle w:val="DefaultParagraphFont"/>
          <w:iCs/>
        </w:rPr>
        <w:t>Conduct a comprehensive review of existing literature, policy documents, and reports on Kenya’s existing fiscal landscape and comparable countries.</w:t>
      </w:r>
      <w:r>
        <w:rPr>
          <w:rStyle w:val="DefaultParagraphFont"/>
          <w:rFonts w:eastAsia="Times New Roman" w:cs="Times New Roman" w:ascii="geist" w:hAnsi="geist"/>
          <w:color w:val="09090B"/>
          <w:sz w:val="24"/>
          <w:szCs w:val="24"/>
        </w:rPr>
        <w:t xml:space="preserve"> </w:t>
      </w:r>
      <w:r>
        <w:rPr>
          <w:rStyle w:val="DefaultParagraphFont"/>
          <w:iCs/>
        </w:rPr>
        <w:t>Analyse Kenya’s current fiscal regime, including tax policies, investment incentives, and regulatory frameworks relevant to R&amp;D.</w:t>
      </w:r>
    </w:p>
    <w:p>
      <w:pPr>
        <w:pStyle w:val="ListParagraph"/>
        <w:numPr>
          <w:ilvl w:val="0"/>
          <w:numId w:val="9"/>
        </w:numPr>
        <w:spacing w:lineRule="auto" w:line="240" w:before="120" w:after="120"/>
        <w:contextualSpacing w:val="false"/>
        <w:jc w:val="both"/>
        <w:rPr>
          <w:b/>
          <w:bCs/>
          <w:iCs/>
        </w:rPr>
      </w:pPr>
      <w:r>
        <w:rPr>
          <w:b/>
          <w:bCs/>
          <w:iCs/>
        </w:rPr>
        <w:t>Stakeholder consultations</w:t>
      </w:r>
    </w:p>
    <w:p>
      <w:pPr>
        <w:pStyle w:val="Normal1"/>
        <w:spacing w:lineRule="auto" w:line="240" w:before="120" w:after="120"/>
        <w:jc w:val="both"/>
        <w:rPr/>
      </w:pPr>
      <w:r>
        <w:rPr>
          <w:rStyle w:val="DefaultParagraphFont"/>
          <w:iCs/>
        </w:rPr>
        <w:t>Undertake semi-structured interviews and focus group discussions with key stakeholders</w:t>
      </w:r>
      <w:r>
        <w:rPr>
          <w:rStyle w:val="DefaultParagraphFont"/>
          <w:iCs/>
          <w:lang w:val="en-US"/>
        </w:rPr>
        <w:t xml:space="preserve"> in Kenya</w:t>
      </w:r>
      <w:r>
        <w:rPr>
          <w:rStyle w:val="DefaultParagraphFont"/>
          <w:iCs/>
        </w:rPr>
        <w:t>, including government agencies, private sector representatives, academic institutions, and industry bodies to gather insights on barriers, needs, and perceptions regarding R&amp;D investment and fiscal incentives.</w:t>
      </w:r>
    </w:p>
    <w:p>
      <w:pPr>
        <w:pStyle w:val="ListParagraph"/>
        <w:numPr>
          <w:ilvl w:val="0"/>
          <w:numId w:val="9"/>
        </w:numPr>
        <w:spacing w:lineRule="auto" w:line="240" w:before="120" w:after="120"/>
        <w:contextualSpacing w:val="false"/>
        <w:jc w:val="both"/>
        <w:rPr>
          <w:b/>
          <w:bCs/>
          <w:iCs/>
        </w:rPr>
      </w:pPr>
      <w:r>
        <w:rPr>
          <w:b/>
          <w:bCs/>
          <w:iCs/>
        </w:rPr>
        <w:t>Comparative case studies</w:t>
      </w:r>
    </w:p>
    <w:p>
      <w:pPr>
        <w:pStyle w:val="Normal1"/>
        <w:spacing w:lineRule="auto" w:line="240" w:before="120" w:after="120"/>
        <w:jc w:val="both"/>
        <w:rPr>
          <w:iCs/>
        </w:rPr>
      </w:pPr>
      <w:r>
        <w:rPr>
          <w:iCs/>
        </w:rPr>
        <w:t>Identify and analyse case studies of countries that have successfully implemented fiscal incentives for R&amp;D, assessing the design, implementation, and outcomes of these models, and extracting lessons relevant to the Kenyan context.</w:t>
      </w:r>
    </w:p>
    <w:p>
      <w:pPr>
        <w:pStyle w:val="ListParagraph"/>
        <w:numPr>
          <w:ilvl w:val="0"/>
          <w:numId w:val="9"/>
        </w:numPr>
        <w:spacing w:lineRule="auto" w:line="240" w:before="120" w:after="120"/>
        <w:contextualSpacing w:val="false"/>
        <w:jc w:val="both"/>
        <w:rPr>
          <w:b/>
          <w:bCs/>
          <w:iCs/>
        </w:rPr>
      </w:pPr>
      <w:r>
        <w:rPr>
          <w:b/>
          <w:bCs/>
          <w:iCs/>
        </w:rPr>
        <w:t>Data collection and analysis</w:t>
      </w:r>
    </w:p>
    <w:p>
      <w:pPr>
        <w:pStyle w:val="Normal1"/>
        <w:spacing w:lineRule="auto" w:line="240" w:before="120" w:after="120"/>
        <w:jc w:val="both"/>
        <w:rPr>
          <w:iCs/>
        </w:rPr>
      </w:pPr>
      <w:r>
        <w:rPr>
          <w:iCs/>
        </w:rPr>
        <w:t>Collect and analyse quantitative data on R&amp;D investment trends and fiscal incentive uptake in Kenya.</w:t>
      </w:r>
    </w:p>
    <w:p>
      <w:pPr>
        <w:pStyle w:val="ListParagraph"/>
        <w:keepNext w:val="true"/>
        <w:keepLines/>
        <w:widowControl w:val="false"/>
        <w:numPr>
          <w:ilvl w:val="0"/>
          <w:numId w:val="9"/>
        </w:numPr>
        <w:spacing w:lineRule="auto" w:line="240" w:before="120" w:after="120"/>
        <w:contextualSpacing w:val="false"/>
        <w:jc w:val="both"/>
        <w:rPr>
          <w:b/>
          <w:bCs/>
          <w:iCs/>
        </w:rPr>
      </w:pPr>
      <w:r>
        <w:rPr>
          <w:b/>
          <w:bCs/>
          <w:iCs/>
        </w:rPr>
        <w:t>Options appraisal</w:t>
      </w:r>
    </w:p>
    <w:p>
      <w:pPr>
        <w:pStyle w:val="Normal1"/>
        <w:keepNext w:val="true"/>
        <w:keepLines/>
        <w:widowControl w:val="false"/>
        <w:spacing w:lineRule="auto" w:line="240" w:before="120" w:after="120"/>
        <w:jc w:val="both"/>
        <w:rPr>
          <w:iCs/>
        </w:rPr>
      </w:pPr>
      <w:r>
        <w:rPr>
          <w:iCs/>
        </w:rPr>
        <w:t>Develop and assess a range of fiscal incentive options for Kenya, considering potential impacts, costs, administrative feasibility, and alignment with national priorities.  Use scenario analysis to estimate the likely effects of different incentive models.</w:t>
      </w:r>
    </w:p>
    <w:p>
      <w:pPr>
        <w:pStyle w:val="ListParagraph"/>
        <w:numPr>
          <w:ilvl w:val="0"/>
          <w:numId w:val="9"/>
        </w:numPr>
        <w:spacing w:lineRule="auto" w:line="240" w:before="120" w:after="120"/>
        <w:contextualSpacing w:val="false"/>
        <w:jc w:val="both"/>
        <w:rPr>
          <w:b/>
          <w:bCs/>
          <w:iCs/>
        </w:rPr>
      </w:pPr>
      <w:r>
        <w:rPr>
          <w:b/>
          <w:bCs/>
          <w:iCs/>
        </w:rPr>
        <w:t>Validation and co-design workshops: </w:t>
      </w:r>
    </w:p>
    <w:p>
      <w:pPr>
        <w:pStyle w:val="Normal1"/>
        <w:spacing w:lineRule="auto" w:line="240" w:before="120" w:after="120"/>
        <w:jc w:val="both"/>
        <w:rPr>
          <w:iCs/>
        </w:rPr>
      </w:pPr>
      <w:r>
        <w:rPr>
          <w:iCs/>
        </w:rPr>
        <w:t>Organise workshops with key stakeholders to validate findings, refine recommendations, and ensure local relevance and buy-in.</w:t>
      </w:r>
    </w:p>
    <w:p>
      <w:pPr>
        <w:pStyle w:val="ListParagraph"/>
        <w:numPr>
          <w:ilvl w:val="0"/>
          <w:numId w:val="9"/>
        </w:numPr>
        <w:spacing w:lineRule="auto" w:line="240" w:before="120" w:after="120"/>
        <w:contextualSpacing w:val="false"/>
        <w:jc w:val="both"/>
        <w:rPr>
          <w:b/>
          <w:bCs/>
          <w:iCs/>
        </w:rPr>
      </w:pPr>
      <w:r>
        <w:rPr>
          <w:b/>
          <w:bCs/>
          <w:iCs/>
        </w:rPr>
        <w:t>Reporting and dissemination</w:t>
      </w:r>
    </w:p>
    <w:p>
      <w:pPr>
        <w:pStyle w:val="Normal1"/>
        <w:spacing w:lineRule="auto" w:line="240" w:before="120" w:after="120"/>
        <w:jc w:val="both"/>
        <w:rPr>
          <w:iCs/>
        </w:rPr>
      </w:pPr>
      <w:r>
        <w:rPr>
          <w:iCs/>
        </w:rPr>
        <w:t>In addition to the full report, the research team will produce a concise 4-page evidence brief on fiscal incentives for R&amp;D, highlighting best practices and actionable policy recommendations for Government of Kenya, along with a 1-page Executive Summary and an infographic for dissemination.</w:t>
      </w:r>
    </w:p>
    <w:p>
      <w:pPr>
        <w:pStyle w:val="Normal1"/>
        <w:spacing w:lineRule="auto" w:line="240" w:before="120" w:after="120"/>
        <w:rPr>
          <w:u w:val="single"/>
        </w:rPr>
      </w:pPr>
      <w:r>
        <w:rPr>
          <w:u w:val="single"/>
        </w:rPr>
        <w:t>3.4 Theory of Change</w:t>
      </w:r>
    </w:p>
    <w:p>
      <w:pPr>
        <w:pStyle w:val="Normal1"/>
        <w:spacing w:lineRule="auto" w:line="240" w:before="120" w:after="120"/>
        <w:jc w:val="both"/>
        <w:rPr>
          <w:iCs/>
        </w:rPr>
      </w:pPr>
      <w:r>
        <w:rPr>
          <w:iCs/>
        </w:rPr>
        <w:t>The study is grounded in the theory that targeted fiscal incentives can catalyse private sector investment in R&amp;D, leading to increased innovation, economic diversification, and job creation. By identifying and implementing effective fiscal tools, the Government of Kenya can create a more enabling environment for investment in R&amp;D and innovation, aligned with the National Innovation Masterplan and broader economic transformation goals.</w:t>
      </w:r>
    </w:p>
    <w:p>
      <w:pPr>
        <w:pStyle w:val="Normal1"/>
        <w:spacing w:lineRule="auto" w:line="240" w:before="120" w:after="120"/>
        <w:rPr>
          <w:u w:val="single"/>
        </w:rPr>
      </w:pPr>
      <w:r>
        <w:rPr>
          <w:u w:val="single"/>
        </w:rPr>
        <w:t>3.5 Required Skills</w:t>
      </w:r>
    </w:p>
    <w:p>
      <w:pPr>
        <w:pStyle w:val="Normal1"/>
        <w:spacing w:lineRule="auto" w:line="240" w:before="120" w:after="120"/>
        <w:jc w:val="both"/>
        <w:rPr/>
      </w:pPr>
      <w:r>
        <w:rPr>
          <w:rStyle w:val="DefaultParagraphFont"/>
          <w:iCs/>
        </w:rPr>
        <w:t>The research supplier will need to clearly demonstrate the following skills</w:t>
      </w:r>
      <w:r>
        <w:rPr>
          <w:rStyle w:val="DefaultParagraphFont"/>
          <w:iCs/>
          <w:lang w:val="en-US"/>
        </w:rPr>
        <w:t>:</w:t>
      </w:r>
      <w:r>
        <w:rPr>
          <w:rStyle w:val="DefaultParagraphFont"/>
          <w:iCs/>
        </w:rPr>
        <w:t xml:space="preserve"> </w:t>
      </w:r>
    </w:p>
    <w:p>
      <w:pPr>
        <w:pStyle w:val="Normal1"/>
        <w:numPr>
          <w:ilvl w:val="0"/>
          <w:numId w:val="10"/>
        </w:numPr>
        <w:spacing w:lineRule="auto" w:line="240" w:before="120" w:after="120"/>
        <w:jc w:val="both"/>
        <w:rPr>
          <w:iCs/>
        </w:rPr>
      </w:pPr>
      <w:r>
        <w:rPr>
          <w:iCs/>
        </w:rPr>
        <w:t>Fiscal policy analysis</w:t>
      </w:r>
    </w:p>
    <w:p>
      <w:pPr>
        <w:pStyle w:val="Normal1"/>
        <w:numPr>
          <w:ilvl w:val="0"/>
          <w:numId w:val="10"/>
        </w:numPr>
        <w:spacing w:lineRule="auto" w:line="240" w:before="120" w:after="120"/>
        <w:jc w:val="both"/>
        <w:rPr>
          <w:iCs/>
        </w:rPr>
      </w:pPr>
      <w:r>
        <w:rPr>
          <w:iCs/>
        </w:rPr>
        <w:t>Innovation systems and R&amp;D financing</w:t>
      </w:r>
    </w:p>
    <w:p>
      <w:pPr>
        <w:pStyle w:val="Normal1"/>
        <w:numPr>
          <w:ilvl w:val="0"/>
          <w:numId w:val="10"/>
        </w:numPr>
        <w:spacing w:lineRule="auto" w:line="240" w:before="120" w:after="120"/>
        <w:jc w:val="both"/>
        <w:rPr>
          <w:iCs/>
        </w:rPr>
      </w:pPr>
      <w:r>
        <w:rPr>
          <w:iCs/>
        </w:rPr>
        <w:t>Stakeholder engagement and qualitative research</w:t>
      </w:r>
    </w:p>
    <w:p>
      <w:pPr>
        <w:pStyle w:val="Normal1"/>
        <w:numPr>
          <w:ilvl w:val="0"/>
          <w:numId w:val="10"/>
        </w:numPr>
        <w:spacing w:lineRule="auto" w:line="240" w:before="120" w:after="120"/>
        <w:jc w:val="both"/>
        <w:rPr>
          <w:iCs/>
        </w:rPr>
      </w:pPr>
      <w:r>
        <w:rPr>
          <w:iCs/>
        </w:rPr>
        <w:t>Comparative policy evaluation</w:t>
      </w:r>
    </w:p>
    <w:p>
      <w:pPr>
        <w:pStyle w:val="Normal1"/>
        <w:spacing w:lineRule="auto" w:line="240" w:before="120" w:after="120"/>
        <w:jc w:val="both"/>
        <w:rPr>
          <w:b/>
          <w:bCs/>
          <w:iCs/>
        </w:rPr>
      </w:pPr>
      <w:r>
        <w:rPr>
          <w:b/>
          <w:bCs/>
          <w:iCs/>
        </w:rPr>
        <w:t>Experience:</w:t>
      </w:r>
    </w:p>
    <w:p>
      <w:pPr>
        <w:pStyle w:val="Normal1"/>
        <w:numPr>
          <w:ilvl w:val="0"/>
          <w:numId w:val="11"/>
        </w:numPr>
        <w:spacing w:lineRule="auto" w:line="240" w:before="120" w:after="120"/>
        <w:jc w:val="both"/>
        <w:rPr>
          <w:iCs/>
        </w:rPr>
      </w:pPr>
      <w:r>
        <w:rPr>
          <w:iCs/>
        </w:rPr>
        <w:t>10 years proven track record in conducting policy research in Kenya or similar contexts</w:t>
      </w:r>
    </w:p>
    <w:p>
      <w:pPr>
        <w:pStyle w:val="Normal1"/>
        <w:numPr>
          <w:ilvl w:val="0"/>
          <w:numId w:val="11"/>
        </w:numPr>
        <w:spacing w:lineRule="auto" w:line="240" w:before="120" w:after="120"/>
        <w:jc w:val="both"/>
        <w:rPr>
          <w:iCs/>
        </w:rPr>
      </w:pPr>
      <w:r>
        <w:rPr>
          <w:iCs/>
        </w:rPr>
        <w:t>10 years’ experience of working with Kenya’s innovation ecosystem and government structures</w:t>
      </w:r>
    </w:p>
    <w:p>
      <w:pPr>
        <w:pStyle w:val="Normal1"/>
        <w:numPr>
          <w:ilvl w:val="0"/>
          <w:numId w:val="11"/>
        </w:numPr>
        <w:spacing w:lineRule="auto" w:line="240" w:before="120" w:after="120"/>
        <w:jc w:val="both"/>
        <w:rPr>
          <w:iCs/>
        </w:rPr>
      </w:pPr>
      <w:r>
        <w:rPr>
          <w:iCs/>
        </w:rPr>
        <w:t>Experience working with development partners and government agencies</w:t>
      </w:r>
    </w:p>
    <w:p>
      <w:pPr>
        <w:pStyle w:val="Normal1"/>
        <w:spacing w:lineRule="auto" w:line="240" w:before="120" w:after="120"/>
        <w:jc w:val="both"/>
        <w:rPr>
          <w:b/>
          <w:bCs/>
          <w:iCs/>
        </w:rPr>
      </w:pPr>
      <w:r>
        <w:rPr>
          <w:b/>
          <w:bCs/>
          <w:iCs/>
        </w:rPr>
        <w:t>Key roles:</w:t>
      </w:r>
    </w:p>
    <w:p>
      <w:pPr>
        <w:pStyle w:val="Normal1"/>
        <w:spacing w:lineRule="auto" w:line="240" w:before="120" w:after="120"/>
        <w:jc w:val="both"/>
        <w:rPr>
          <w:iCs/>
          <w:lang w:val="en-US"/>
        </w:rPr>
      </w:pPr>
      <w:r>
        <w:rPr>
          <w:iCs/>
          <w:lang w:val="en-US"/>
        </w:rPr>
        <w:t>The research team is expected to be composed of:</w:t>
      </w:r>
    </w:p>
    <w:p>
      <w:pPr>
        <w:pStyle w:val="Normal1"/>
        <w:numPr>
          <w:ilvl w:val="0"/>
          <w:numId w:val="12"/>
        </w:numPr>
        <w:spacing w:lineRule="auto" w:line="240" w:before="120" w:after="120"/>
        <w:jc w:val="both"/>
        <w:rPr>
          <w:iCs/>
        </w:rPr>
      </w:pPr>
      <w:r>
        <w:rPr>
          <w:iCs/>
        </w:rPr>
        <w:t>Lead Researcher/Policy Analyst – responsible for overall study design and delivery</w:t>
      </w:r>
    </w:p>
    <w:p>
      <w:pPr>
        <w:pStyle w:val="Normal1"/>
        <w:numPr>
          <w:ilvl w:val="0"/>
          <w:numId w:val="12"/>
        </w:numPr>
        <w:spacing w:lineRule="auto" w:line="240" w:before="120" w:after="120"/>
        <w:jc w:val="both"/>
        <w:rPr>
          <w:iCs/>
        </w:rPr>
      </w:pPr>
      <w:r>
        <w:rPr>
          <w:iCs/>
        </w:rPr>
        <w:t>Innovation Systems Specialist – provides sectoral expertise and contextual analysis</w:t>
      </w:r>
    </w:p>
    <w:p>
      <w:pPr>
        <w:pStyle w:val="Normal1"/>
        <w:numPr>
          <w:ilvl w:val="0"/>
          <w:numId w:val="12"/>
        </w:numPr>
        <w:spacing w:lineRule="auto" w:line="240" w:before="120" w:after="120"/>
        <w:jc w:val="both"/>
        <w:rPr>
          <w:iCs/>
        </w:rPr>
      </w:pPr>
      <w:r>
        <w:rPr>
          <w:iCs/>
        </w:rPr>
        <w:t>Stakeholder Engagement Lead – manages interviews, workshops, and validation processes</w:t>
      </w:r>
    </w:p>
    <w:p>
      <w:pPr>
        <w:pStyle w:val="Normal1"/>
        <w:numPr>
          <w:ilvl w:val="0"/>
          <w:numId w:val="12"/>
        </w:numPr>
        <w:spacing w:lineRule="auto" w:line="240" w:before="120" w:after="120"/>
        <w:jc w:val="both"/>
        <w:rPr>
          <w:iCs/>
        </w:rPr>
      </w:pPr>
      <w:r>
        <w:rPr>
          <w:iCs/>
        </w:rPr>
        <w:t>Research Assistant(s) – supports data collection, analysis, and reporting</w:t>
      </w:r>
    </w:p>
    <w:p>
      <w:pPr>
        <w:pStyle w:val="Normal1"/>
        <w:spacing w:lineRule="auto" w:line="240" w:before="120" w:after="120"/>
        <w:jc w:val="both"/>
        <w:rPr>
          <w:b/>
          <w:bCs/>
          <w:iCs/>
        </w:rPr>
      </w:pPr>
      <w:r>
        <w:rPr>
          <w:b/>
          <w:bCs/>
          <w:iCs/>
        </w:rPr>
        <w:t>Uptake and dissemination</w:t>
      </w:r>
    </w:p>
    <w:p>
      <w:pPr>
        <w:pStyle w:val="Normal1"/>
        <w:spacing w:lineRule="auto" w:line="240" w:before="120" w:after="120"/>
        <w:jc w:val="both"/>
        <w:rPr/>
      </w:pPr>
      <w:r>
        <w:rPr>
          <w:rStyle w:val="DefaultParagraphFont"/>
          <w:iCs/>
        </w:rPr>
        <w:t xml:space="preserve">The </w:t>
      </w:r>
      <w:r>
        <w:rPr>
          <w:rStyle w:val="DefaultParagraphFont"/>
          <w:iCs/>
          <w:lang w:val="en-US"/>
        </w:rPr>
        <w:t>s</w:t>
      </w:r>
      <w:r>
        <w:rPr>
          <w:rStyle w:val="DefaultParagraphFont"/>
          <w:iCs/>
        </w:rPr>
        <w:t>upplier will:</w:t>
      </w:r>
    </w:p>
    <w:p>
      <w:pPr>
        <w:pStyle w:val="Normal1"/>
        <w:numPr>
          <w:ilvl w:val="0"/>
          <w:numId w:val="13"/>
        </w:numPr>
        <w:spacing w:lineRule="auto" w:line="240" w:before="120" w:after="120"/>
        <w:jc w:val="both"/>
        <w:rPr>
          <w:iCs/>
        </w:rPr>
      </w:pPr>
      <w:r>
        <w:rPr>
          <w:iCs/>
        </w:rPr>
        <w:t>Present findings in an interactive session to KeNIA, FCDO, and stakeholders, ensuring materials are shareable (slides, summary notes).</w:t>
      </w:r>
    </w:p>
    <w:p>
      <w:pPr>
        <w:pStyle w:val="Normal1"/>
        <w:numPr>
          <w:ilvl w:val="0"/>
          <w:numId w:val="13"/>
        </w:numPr>
        <w:spacing w:lineRule="auto" w:line="240" w:before="120" w:after="120"/>
        <w:jc w:val="both"/>
        <w:rPr>
          <w:iCs/>
        </w:rPr>
      </w:pPr>
      <w:r>
        <w:rPr>
          <w:iCs/>
        </w:rPr>
        <w:t>Develop and finalize a policy brief and a dissemination plan, detailing channels (digital, print), audiences, and timing.</w:t>
      </w:r>
    </w:p>
    <w:p>
      <w:pPr>
        <w:pStyle w:val="Normal1"/>
        <w:numPr>
          <w:ilvl w:val="0"/>
          <w:numId w:val="13"/>
        </w:numPr>
        <w:spacing w:lineRule="auto" w:line="240" w:before="120" w:after="120"/>
        <w:jc w:val="both"/>
        <w:rPr>
          <w:iCs/>
        </w:rPr>
      </w:pPr>
      <w:r>
        <w:rPr>
          <w:iCs/>
        </w:rPr>
        <w:t>Organize and actively participate in a stakeholder validation workshop, incorporating feedback into final outputs and ensuring visibility.</w:t>
      </w:r>
    </w:p>
    <w:p>
      <w:pPr>
        <w:pStyle w:val="Normal1"/>
        <w:numPr>
          <w:ilvl w:val="0"/>
          <w:numId w:val="13"/>
        </w:numPr>
        <w:spacing w:lineRule="auto" w:line="240" w:before="120" w:after="120"/>
        <w:jc w:val="both"/>
        <w:rPr>
          <w:iCs/>
        </w:rPr>
      </w:pPr>
      <w:r>
        <w:rPr>
          <w:iCs/>
        </w:rPr>
        <w:t>Produce at least one public-facing knowledge product (e.g., infographic or blog post) for wider dissemination during the project period.</w:t>
      </w:r>
    </w:p>
    <w:p>
      <w:pPr>
        <w:pStyle w:val="Normal1"/>
        <w:numPr>
          <w:ilvl w:val="0"/>
          <w:numId w:val="13"/>
        </w:numPr>
        <w:spacing w:lineRule="auto" w:line="240" w:before="120" w:after="120"/>
        <w:jc w:val="both"/>
        <w:rPr>
          <w:iCs/>
        </w:rPr>
      </w:pPr>
      <w:r>
        <w:rPr>
          <w:iCs/>
        </w:rPr>
        <w:t>Contribute to FCDO’s internal learning and reporting processes, including a short reflection on dissemination effectiveness.</w:t>
      </w:r>
    </w:p>
    <w:p>
      <w:pPr>
        <w:pStyle w:val="Normal1"/>
        <w:spacing w:lineRule="auto" w:line="240" w:before="120" w:after="120"/>
        <w:jc w:val="both"/>
        <w:rPr>
          <w:iCs/>
        </w:rPr>
      </w:pPr>
      <w:r>
        <w:rPr>
          <w:iCs/>
        </w:rPr>
        <w:t>Deliverables will be used to guide policy dialogue, inform programme development, and support stakeholder engagement across government, academia, and industry.</w:t>
      </w:r>
    </w:p>
    <w:p>
      <w:pPr>
        <w:pStyle w:val="Normal1"/>
        <w:spacing w:lineRule="auto" w:line="240" w:before="120" w:after="120"/>
        <w:jc w:val="both"/>
        <w:rPr>
          <w:iCs/>
        </w:rPr>
      </w:pPr>
      <w:r>
        <w:rPr>
          <w:iCs/>
        </w:rPr>
      </w:r>
    </w:p>
    <w:tbl>
      <w:tblPr>
        <w:tblW w:w="5000" w:type="pct"/>
        <w:jc w:val="start"/>
        <w:tblInd w:w="-5" w:type="dxa"/>
        <w:tblLayout w:type="fixed"/>
        <w:tblCellMar>
          <w:top w:w="0" w:type="dxa"/>
          <w:start w:w="108" w:type="dxa"/>
          <w:bottom w:w="0" w:type="dxa"/>
          <w:end w:w="108" w:type="dxa"/>
        </w:tblCellMar>
      </w:tblPr>
      <w:tblGrid>
        <w:gridCol w:w="9026"/>
      </w:tblGrid>
      <w:tr>
        <w:trPr/>
        <w:tc>
          <w:tcPr>
            <w:tcW w:w="9026" w:type="dxa"/>
            <w:tcBorders>
              <w:top w:val="single" w:sz="4" w:space="0" w:color="000000"/>
              <w:start w:val="single" w:sz="4" w:space="0" w:color="000000"/>
              <w:bottom w:val="single" w:sz="4" w:space="0" w:color="000000"/>
              <w:end w:val="single" w:sz="4" w:space="0" w:color="000000"/>
            </w:tcBorders>
          </w:tcPr>
          <w:p>
            <w:pPr>
              <w:pStyle w:val="Normal1"/>
              <w:spacing w:lineRule="auto" w:line="240" w:before="120" w:after="120"/>
              <w:rPr>
                <w:b/>
                <w:bCs/>
              </w:rPr>
            </w:pPr>
            <w:r>
              <w:rPr>
                <w:b/>
                <w:bCs/>
              </w:rPr>
              <w:t>4. PROJECT MANAGEMENT ARRANGEMENTS</w:t>
            </w:r>
          </w:p>
        </w:tc>
      </w:tr>
    </w:tbl>
    <w:p>
      <w:pPr>
        <w:pStyle w:val="Normal1"/>
        <w:spacing w:lineRule="auto" w:line="240" w:before="120" w:after="120"/>
        <w:jc w:val="both"/>
        <w:rPr>
          <w:iCs/>
        </w:rPr>
      </w:pPr>
      <w:r>
        <w:rPr>
          <w:iCs/>
        </w:rPr>
        <w:t>The successful delivery of this study will require close coordination between the Supplier, KeNIA, and FCDO, with clearly defined roles and responsibilities.</w:t>
      </w:r>
    </w:p>
    <w:p>
      <w:pPr>
        <w:pStyle w:val="Normal1"/>
        <w:spacing w:lineRule="auto" w:line="240" w:before="120" w:after="120"/>
        <w:jc w:val="both"/>
        <w:rPr>
          <w:b/>
          <w:bCs/>
          <w:iCs/>
        </w:rPr>
      </w:pPr>
      <w:r>
        <w:rPr>
          <w:b/>
          <w:bCs/>
          <w:iCs/>
        </w:rPr>
        <w:t>Supplier Responsibilities</w:t>
      </w:r>
    </w:p>
    <w:p>
      <w:pPr>
        <w:pStyle w:val="Normal1"/>
        <w:spacing w:lineRule="auto" w:line="240" w:before="120" w:after="120"/>
        <w:jc w:val="both"/>
        <w:rPr>
          <w:iCs/>
        </w:rPr>
      </w:pPr>
      <w:r>
        <w:rPr>
          <w:iCs/>
        </w:rPr>
        <w:t>The Supplier will be responsible for:</w:t>
      </w:r>
    </w:p>
    <w:p>
      <w:pPr>
        <w:pStyle w:val="Normal1"/>
        <w:numPr>
          <w:ilvl w:val="0"/>
          <w:numId w:val="14"/>
        </w:numPr>
        <w:spacing w:lineRule="auto" w:line="240" w:before="120" w:after="120"/>
        <w:jc w:val="both"/>
        <w:rPr>
          <w:iCs/>
        </w:rPr>
      </w:pPr>
      <w:r>
        <w:rPr>
          <w:iCs/>
        </w:rPr>
        <w:t>Overall project management and delivery of the research study.</w:t>
      </w:r>
    </w:p>
    <w:p>
      <w:pPr>
        <w:pStyle w:val="Normal1"/>
        <w:numPr>
          <w:ilvl w:val="0"/>
          <w:numId w:val="14"/>
        </w:numPr>
        <w:spacing w:lineRule="auto" w:line="240" w:before="120" w:after="120"/>
        <w:jc w:val="both"/>
        <w:rPr>
          <w:iCs/>
        </w:rPr>
      </w:pPr>
      <w:r>
        <w:rPr>
          <w:iCs/>
        </w:rPr>
        <w:t>Designing and executing the research methodology.</w:t>
      </w:r>
    </w:p>
    <w:p>
      <w:pPr>
        <w:pStyle w:val="Normal1"/>
        <w:numPr>
          <w:ilvl w:val="0"/>
          <w:numId w:val="14"/>
        </w:numPr>
        <w:spacing w:lineRule="auto" w:line="240" w:before="120" w:after="120"/>
        <w:jc w:val="both"/>
        <w:rPr>
          <w:iCs/>
        </w:rPr>
      </w:pPr>
      <w:r>
        <w:rPr>
          <w:iCs/>
        </w:rPr>
        <w:t>Coordinating stakeholder engagement activities, including interviews and validation workshops.</w:t>
      </w:r>
    </w:p>
    <w:p>
      <w:pPr>
        <w:pStyle w:val="Normal1"/>
        <w:numPr>
          <w:ilvl w:val="0"/>
          <w:numId w:val="14"/>
        </w:numPr>
        <w:spacing w:lineRule="auto" w:line="240" w:before="120" w:after="120"/>
        <w:jc w:val="both"/>
        <w:rPr>
          <w:iCs/>
        </w:rPr>
      </w:pPr>
      <w:r>
        <w:rPr>
          <w:iCs/>
        </w:rPr>
        <w:t>Producing all deliverables, including the inception report, draft and final research reports, and policy brief.</w:t>
      </w:r>
    </w:p>
    <w:p>
      <w:pPr>
        <w:pStyle w:val="Normal1"/>
        <w:numPr>
          <w:ilvl w:val="0"/>
          <w:numId w:val="14"/>
        </w:numPr>
        <w:spacing w:lineRule="auto" w:line="240" w:before="120" w:after="120"/>
        <w:jc w:val="both"/>
        <w:rPr>
          <w:iCs/>
        </w:rPr>
      </w:pPr>
      <w:r>
        <w:rPr>
          <w:iCs/>
        </w:rPr>
        <w:t>Managing timelines, quality assurance, and reporting progress to KeNIA and FCDO.</w:t>
      </w:r>
    </w:p>
    <w:p>
      <w:pPr>
        <w:pStyle w:val="Normal1"/>
        <w:numPr>
          <w:ilvl w:val="0"/>
          <w:numId w:val="14"/>
        </w:numPr>
        <w:spacing w:lineRule="auto" w:line="240" w:before="120" w:after="120"/>
        <w:jc w:val="both"/>
        <w:rPr>
          <w:iCs/>
        </w:rPr>
      </w:pPr>
      <w:r>
        <w:rPr>
          <w:iCs/>
        </w:rPr>
        <w:t>Supporting dissemination activities, including presentations and stakeholder briefings.</w:t>
      </w:r>
    </w:p>
    <w:p>
      <w:pPr>
        <w:pStyle w:val="Normal1"/>
        <w:spacing w:lineRule="auto" w:line="240" w:before="120" w:after="120"/>
        <w:jc w:val="both"/>
        <w:rPr/>
      </w:pPr>
      <w:r>
        <w:rPr>
          <w:rStyle w:val="DefaultParagraphFont"/>
          <w:iCs/>
        </w:rPr>
        <w:t>The Supplier is expected to establish a clear project plan and communication protocol to ensure timely updates and responsiveness to feedback</w:t>
      </w:r>
      <w:r>
        <w:rPr>
          <w:rStyle w:val="DefaultParagraphFont"/>
          <w:iCs/>
          <w:lang w:val="en-US"/>
        </w:rPr>
        <w:t xml:space="preserve"> to KeNIA and FCDO.</w:t>
      </w:r>
    </w:p>
    <w:p>
      <w:pPr>
        <w:pStyle w:val="Normal1"/>
        <w:spacing w:lineRule="auto" w:line="240" w:before="120" w:after="120"/>
        <w:jc w:val="both"/>
        <w:rPr>
          <w:b/>
          <w:bCs/>
          <w:iCs/>
        </w:rPr>
      </w:pPr>
      <w:r>
        <w:rPr>
          <w:b/>
          <w:bCs/>
          <w:iCs/>
        </w:rPr>
        <w:t>KeNIA responsibilities</w:t>
      </w:r>
    </w:p>
    <w:p>
      <w:pPr>
        <w:pStyle w:val="Normal1"/>
        <w:spacing w:lineRule="auto" w:line="240" w:before="120" w:after="120"/>
        <w:jc w:val="both"/>
        <w:rPr>
          <w:iCs/>
        </w:rPr>
      </w:pPr>
      <w:r>
        <w:rPr>
          <w:iCs/>
        </w:rPr>
        <w:t>KeNIA will:</w:t>
      </w:r>
    </w:p>
    <w:p>
      <w:pPr>
        <w:pStyle w:val="Normal1"/>
        <w:numPr>
          <w:ilvl w:val="0"/>
          <w:numId w:val="15"/>
        </w:numPr>
        <w:spacing w:lineRule="auto" w:line="240" w:before="120" w:after="120"/>
        <w:jc w:val="both"/>
        <w:rPr>
          <w:iCs/>
        </w:rPr>
      </w:pPr>
      <w:r>
        <w:rPr>
          <w:iCs/>
        </w:rPr>
        <w:t>Act as the lead customer and primary beneficiary of the study.</w:t>
      </w:r>
    </w:p>
    <w:p>
      <w:pPr>
        <w:pStyle w:val="Normal1"/>
        <w:numPr>
          <w:ilvl w:val="0"/>
          <w:numId w:val="15"/>
        </w:numPr>
        <w:spacing w:lineRule="auto" w:line="240" w:before="120" w:after="120"/>
        <w:jc w:val="both"/>
        <w:rPr>
          <w:iCs/>
        </w:rPr>
      </w:pPr>
      <w:r>
        <w:rPr>
          <w:iCs/>
        </w:rPr>
        <w:t>Provide contextual guidance and access to relevant data and stakeholders.</w:t>
      </w:r>
    </w:p>
    <w:p>
      <w:pPr>
        <w:pStyle w:val="Normal1"/>
        <w:numPr>
          <w:ilvl w:val="0"/>
          <w:numId w:val="15"/>
        </w:numPr>
        <w:spacing w:lineRule="auto" w:line="240" w:before="120" w:after="120"/>
        <w:jc w:val="both"/>
        <w:rPr>
          <w:iCs/>
        </w:rPr>
      </w:pPr>
      <w:r>
        <w:rPr>
          <w:iCs/>
        </w:rPr>
        <w:t>Participate in validation workshops and review deliverables.</w:t>
      </w:r>
    </w:p>
    <w:p>
      <w:pPr>
        <w:pStyle w:val="Normal1"/>
        <w:numPr>
          <w:ilvl w:val="0"/>
          <w:numId w:val="15"/>
        </w:numPr>
        <w:spacing w:lineRule="auto" w:line="240" w:before="120" w:after="120"/>
        <w:jc w:val="both"/>
        <w:rPr>
          <w:iCs/>
        </w:rPr>
      </w:pPr>
      <w:r>
        <w:rPr>
          <w:iCs/>
        </w:rPr>
        <w:t>Lead advocacy efforts using the study’s findings to engage the National Treasury and Office of the President.</w:t>
      </w:r>
    </w:p>
    <w:p>
      <w:pPr>
        <w:pStyle w:val="Normal1"/>
        <w:keepNext w:val="true"/>
        <w:keepLines/>
        <w:widowControl w:val="false"/>
        <w:spacing w:lineRule="auto" w:line="240" w:before="120" w:after="120"/>
        <w:jc w:val="both"/>
        <w:rPr>
          <w:b/>
          <w:bCs/>
          <w:iCs/>
        </w:rPr>
      </w:pPr>
      <w:r>
        <w:rPr>
          <w:b/>
          <w:bCs/>
          <w:iCs/>
        </w:rPr>
        <w:t>FCDO responsibilities</w:t>
      </w:r>
    </w:p>
    <w:p>
      <w:pPr>
        <w:pStyle w:val="Normal1"/>
        <w:keepNext w:val="true"/>
        <w:keepLines/>
        <w:widowControl w:val="false"/>
        <w:spacing w:lineRule="auto" w:line="240" w:before="120" w:after="120"/>
        <w:jc w:val="both"/>
        <w:rPr>
          <w:iCs/>
        </w:rPr>
      </w:pPr>
      <w:r>
        <w:rPr>
          <w:iCs/>
        </w:rPr>
        <w:t>FCDO will:</w:t>
      </w:r>
    </w:p>
    <w:p>
      <w:pPr>
        <w:pStyle w:val="Normal1"/>
        <w:keepNext w:val="true"/>
        <w:keepLines/>
        <w:widowControl w:val="false"/>
        <w:numPr>
          <w:ilvl w:val="0"/>
          <w:numId w:val="16"/>
        </w:numPr>
        <w:spacing w:lineRule="auto" w:line="240" w:before="120" w:after="120"/>
        <w:jc w:val="both"/>
        <w:rPr>
          <w:iCs/>
        </w:rPr>
      </w:pPr>
      <w:r>
        <w:rPr>
          <w:iCs/>
        </w:rPr>
        <w:t>Provide strategic oversight and ensure alignment with broader UK objectives in Kenya.</w:t>
      </w:r>
    </w:p>
    <w:p>
      <w:pPr>
        <w:pStyle w:val="Normal1"/>
        <w:keepNext w:val="true"/>
        <w:keepLines/>
        <w:widowControl w:val="false"/>
        <w:numPr>
          <w:ilvl w:val="0"/>
          <w:numId w:val="16"/>
        </w:numPr>
        <w:spacing w:lineRule="auto" w:line="240" w:before="120" w:after="120"/>
        <w:jc w:val="both"/>
        <w:rPr>
          <w:iCs/>
        </w:rPr>
      </w:pPr>
      <w:r>
        <w:rPr>
          <w:iCs/>
        </w:rPr>
        <w:t>Facilitate access to relevant stakeholders and government counterparts.</w:t>
      </w:r>
    </w:p>
    <w:p>
      <w:pPr>
        <w:pStyle w:val="Normal1"/>
        <w:numPr>
          <w:ilvl w:val="0"/>
          <w:numId w:val="16"/>
        </w:numPr>
        <w:spacing w:lineRule="auto" w:line="240" w:before="120" w:after="120"/>
        <w:jc w:val="both"/>
        <w:rPr>
          <w:iCs/>
        </w:rPr>
      </w:pPr>
      <w:r>
        <w:rPr>
          <w:iCs/>
        </w:rPr>
        <w:t>Review and provide feedback on key deliverables.</w:t>
      </w:r>
    </w:p>
    <w:p>
      <w:pPr>
        <w:pStyle w:val="Normal1"/>
        <w:numPr>
          <w:ilvl w:val="0"/>
          <w:numId w:val="16"/>
        </w:numPr>
        <w:spacing w:lineRule="auto" w:line="240" w:before="120" w:after="120"/>
        <w:jc w:val="both"/>
        <w:rPr>
          <w:iCs/>
        </w:rPr>
      </w:pPr>
      <w:r>
        <w:rPr>
          <w:iCs/>
        </w:rPr>
        <w:t>Support dissemination and uptake of findings through its programme channels and policy dialogue platforms.</w:t>
      </w:r>
    </w:p>
    <w:p>
      <w:pPr>
        <w:pStyle w:val="Normal1"/>
        <w:spacing w:lineRule="auto" w:line="240" w:before="120" w:after="120"/>
        <w:jc w:val="both"/>
        <w:rPr>
          <w:b/>
          <w:bCs/>
          <w:iCs/>
        </w:rPr>
      </w:pPr>
      <w:r>
        <w:rPr>
          <w:b/>
          <w:bCs/>
          <w:iCs/>
        </w:rPr>
        <w:t>Stakeholder interaction and coordination</w:t>
      </w:r>
    </w:p>
    <w:p>
      <w:pPr>
        <w:pStyle w:val="Normal1"/>
        <w:spacing w:lineRule="auto" w:line="240" w:before="120" w:after="120"/>
        <w:jc w:val="both"/>
        <w:rPr>
          <w:iCs/>
        </w:rPr>
      </w:pPr>
      <w:r>
        <w:rPr>
          <w:iCs/>
        </w:rPr>
        <w:t>The supplier will be expected to:</w:t>
      </w:r>
    </w:p>
    <w:p>
      <w:pPr>
        <w:pStyle w:val="Normal1"/>
        <w:numPr>
          <w:ilvl w:val="0"/>
          <w:numId w:val="17"/>
        </w:numPr>
        <w:spacing w:lineRule="auto" w:line="240" w:before="120" w:after="120"/>
        <w:jc w:val="both"/>
        <w:rPr>
          <w:iCs/>
        </w:rPr>
      </w:pPr>
      <w:r>
        <w:rPr>
          <w:iCs/>
        </w:rPr>
        <w:t>Maintain regular communication with both KeNIA and FCDO through bi-weekly check-ins or as agreed.</w:t>
      </w:r>
    </w:p>
    <w:p>
      <w:pPr>
        <w:pStyle w:val="Normal1"/>
        <w:numPr>
          <w:ilvl w:val="0"/>
          <w:numId w:val="17"/>
        </w:numPr>
        <w:spacing w:lineRule="auto" w:line="240" w:before="120" w:after="120"/>
        <w:jc w:val="both"/>
        <w:rPr>
          <w:iCs/>
        </w:rPr>
      </w:pPr>
      <w:r>
        <w:rPr>
          <w:iCs/>
        </w:rPr>
        <w:t>Coordinate stakeholder interviews and workshops in collaboration with KeNIA.</w:t>
      </w:r>
    </w:p>
    <w:p>
      <w:pPr>
        <w:pStyle w:val="Normal1"/>
        <w:numPr>
          <w:ilvl w:val="0"/>
          <w:numId w:val="17"/>
        </w:numPr>
        <w:spacing w:lineRule="auto" w:line="240" w:before="120" w:after="120"/>
        <w:jc w:val="both"/>
        <w:rPr>
          <w:iCs/>
        </w:rPr>
      </w:pPr>
      <w:r>
        <w:rPr>
          <w:iCs/>
        </w:rPr>
        <w:t>Ensure inclusive engagement across government, academia, and private sector actors.</w:t>
      </w:r>
    </w:p>
    <w:p>
      <w:pPr>
        <w:pStyle w:val="Normal1"/>
        <w:numPr>
          <w:ilvl w:val="0"/>
          <w:numId w:val="17"/>
        </w:numPr>
        <w:spacing w:lineRule="auto" w:line="240" w:before="120" w:after="120"/>
        <w:jc w:val="both"/>
        <w:rPr>
          <w:iCs/>
        </w:rPr>
      </w:pPr>
      <w:r>
        <w:rPr>
          <w:iCs/>
        </w:rPr>
        <w:t>Document stakeholder feedback and incorporate it into final recommendations.</w:t>
      </w:r>
    </w:p>
    <w:p>
      <w:pPr>
        <w:pStyle w:val="Normal1"/>
        <w:tabs>
          <w:tab w:val="clear" w:pos="720"/>
        </w:tabs>
        <w:spacing w:lineRule="auto" w:line="240" w:before="120" w:after="120"/>
        <w:ind w:start="720"/>
        <w:jc w:val="both"/>
        <w:rPr>
          <w:iCs/>
        </w:rPr>
      </w:pPr>
      <w:r>
        <w:rPr>
          <w:iCs/>
        </w:rPr>
      </w:r>
    </w:p>
    <w:tbl>
      <w:tblPr>
        <w:tblW w:w="5000" w:type="pct"/>
        <w:jc w:val="start"/>
        <w:tblInd w:w="-5" w:type="dxa"/>
        <w:tblLayout w:type="fixed"/>
        <w:tblCellMar>
          <w:top w:w="0" w:type="dxa"/>
          <w:start w:w="108" w:type="dxa"/>
          <w:bottom w:w="0" w:type="dxa"/>
          <w:end w:w="108" w:type="dxa"/>
        </w:tblCellMar>
      </w:tblPr>
      <w:tblGrid>
        <w:gridCol w:w="9026"/>
      </w:tblGrid>
      <w:tr>
        <w:trPr/>
        <w:tc>
          <w:tcPr>
            <w:tcW w:w="9026" w:type="dxa"/>
            <w:tcBorders>
              <w:top w:val="single" w:sz="4" w:space="0" w:color="000000"/>
              <w:start w:val="single" w:sz="4" w:space="0" w:color="000000"/>
              <w:bottom w:val="single" w:sz="4" w:space="0" w:color="000000"/>
              <w:end w:val="single" w:sz="4" w:space="0" w:color="000000"/>
            </w:tcBorders>
          </w:tcPr>
          <w:p>
            <w:pPr>
              <w:pStyle w:val="Normal1"/>
              <w:spacing w:lineRule="auto" w:line="240" w:before="120" w:after="120"/>
              <w:rPr>
                <w:b/>
                <w:bCs/>
              </w:rPr>
            </w:pPr>
            <w:r>
              <w:rPr>
                <w:b/>
                <w:bCs/>
              </w:rPr>
              <w:t>5. ADMINISTRATIVE ARRANGEMENT</w:t>
            </w:r>
          </w:p>
        </w:tc>
      </w:tr>
    </w:tbl>
    <w:p>
      <w:pPr>
        <w:pStyle w:val="Normal1"/>
        <w:spacing w:lineRule="auto" w:line="240" w:before="120" w:after="120"/>
        <w:jc w:val="both"/>
        <w:rPr>
          <w:lang w:val="en-US"/>
        </w:rPr>
      </w:pPr>
      <w:r>
        <w:rPr>
          <w:lang w:val="en-US"/>
        </w:rPr>
        <w:t>The study would be supported through The Evidence Fund, an FCDO programme intended to support a broad spectrum of FCDO’s evidence needs to inform policy and programming decisions. The expected impact of the programme is to help develop evidence-informed policies, programmes and practices which contribute to development outcomes.</w:t>
      </w:r>
    </w:p>
    <w:p>
      <w:pPr>
        <w:pStyle w:val="Normal1"/>
        <w:spacing w:lineRule="auto" w:line="240" w:before="120" w:after="120"/>
        <w:jc w:val="both"/>
        <w:rPr>
          <w:lang w:val="en-US"/>
        </w:rPr>
      </w:pPr>
      <w:r>
        <w:rPr>
          <w:lang w:val="en-US"/>
        </w:rPr>
        <w:t>In 2023, FCDO appointed PwC and Integrity as Fund Manager (FM) to oversee and manage the Evidence Fund. The Fund Manager’s primary responsibility is to manage procurement competitions f or research and evaluation projects and conduct due diligence assessments on prospective sub – contracted Research Pool providers, where relevant.</w:t>
      </w:r>
    </w:p>
    <w:p>
      <w:pPr>
        <w:pStyle w:val="Normal1"/>
        <w:spacing w:lineRule="auto" w:line="240" w:before="120" w:after="120"/>
        <w:jc w:val="both"/>
        <w:rPr>
          <w:lang w:val="en-US"/>
        </w:rPr>
      </w:pPr>
      <w:r>
        <w:rPr>
          <w:lang w:val="en-US"/>
        </w:rPr>
        <w:t>The Foreign, Commonwealth &amp; Development Of f ice (FCDO) is the sole contracting authority for all projects funded through the Evidence Fund. The FCDO holds full responsibility for issuing contracts and managing all contract and project management activities throughout the lifecycle of each project. The Fund Manager’s role is limited to pre-contracting activities and does not extend to contract execution or post-award management</w:t>
      </w:r>
    </w:p>
    <w:p>
      <w:pPr>
        <w:pStyle w:val="Normal1"/>
        <w:spacing w:lineRule="auto" w:line="240" w:before="120" w:after="120"/>
        <w:jc w:val="both"/>
        <w:rPr>
          <w:lang w:val="en-US"/>
        </w:rPr>
      </w:pPr>
      <w:r>
        <w:rPr>
          <w:lang w:val="en-US"/>
        </w:rPr>
      </w:r>
    </w:p>
    <w:tbl>
      <w:tblPr>
        <w:tblW w:w="5000" w:type="pct"/>
        <w:jc w:val="start"/>
        <w:tblInd w:w="-5" w:type="dxa"/>
        <w:tblLayout w:type="fixed"/>
        <w:tblCellMar>
          <w:top w:w="0" w:type="dxa"/>
          <w:start w:w="108" w:type="dxa"/>
          <w:bottom w:w="0" w:type="dxa"/>
          <w:end w:w="108" w:type="dxa"/>
        </w:tblCellMar>
      </w:tblPr>
      <w:tblGrid>
        <w:gridCol w:w="9026"/>
      </w:tblGrid>
      <w:tr>
        <w:trPr/>
        <w:tc>
          <w:tcPr>
            <w:tcW w:w="9026" w:type="dxa"/>
            <w:tcBorders>
              <w:top w:val="single" w:sz="4" w:space="0" w:color="000000"/>
              <w:start w:val="single" w:sz="4" w:space="0" w:color="000000"/>
              <w:bottom w:val="single" w:sz="4" w:space="0" w:color="000000"/>
              <w:end w:val="single" w:sz="4" w:space="0" w:color="000000"/>
            </w:tcBorders>
          </w:tcPr>
          <w:p>
            <w:pPr>
              <w:pStyle w:val="Normal1"/>
              <w:spacing w:lineRule="auto" w:line="240" w:before="120" w:after="120"/>
              <w:rPr>
                <w:b/>
                <w:bCs/>
              </w:rPr>
            </w:pPr>
            <w:r>
              <w:rPr>
                <w:b/>
                <w:bCs/>
              </w:rPr>
              <w:t>6. TIMEFRAME, EXPECTED DELIVERABLES, AND OVERALL BUDGET</w:t>
            </w:r>
          </w:p>
        </w:tc>
      </w:tr>
    </w:tbl>
    <w:p>
      <w:pPr>
        <w:pStyle w:val="Normal1"/>
        <w:spacing w:lineRule="auto" w:line="240" w:before="120" w:after="120"/>
        <w:jc w:val="both"/>
        <w:rPr/>
      </w:pPr>
      <w:r>
        <w:rPr/>
        <w:t>The study should be completed in a maximum period of 4</w:t>
      </w:r>
      <w:r>
        <w:rPr>
          <w:rStyle w:val="DefaultParagraphFont"/>
          <w:i/>
        </w:rPr>
        <w:t xml:space="preserve"> </w:t>
      </w:r>
      <w:r>
        <w:rPr/>
        <w:t xml:space="preserve">months, starting </w:t>
      </w:r>
      <w:r>
        <w:rPr>
          <w:rStyle w:val="DefaultParagraphFont"/>
          <w:i/>
        </w:rPr>
        <w:t>January, 2026</w:t>
      </w:r>
      <w:r>
        <w:rPr/>
        <w:t xml:space="preserve">. </w:t>
      </w:r>
    </w:p>
    <w:p>
      <w:pPr>
        <w:pStyle w:val="Normal1"/>
        <w:spacing w:lineRule="auto" w:line="240" w:before="120" w:after="120"/>
        <w:jc w:val="both"/>
        <w:rPr/>
      </w:pPr>
      <w:r>
        <w:rPr/>
        <w:t>The budget for the study should not exceed £80,000 excluding UK VAT and including all other relevant Government taxes.</w:t>
      </w:r>
    </w:p>
    <w:p>
      <w:pPr>
        <w:pStyle w:val="Normal1"/>
        <w:spacing w:lineRule="auto" w:line="240" w:before="120" w:after="120"/>
        <w:jc w:val="both"/>
        <w:rPr/>
      </w:pPr>
      <w:r>
        <w:rPr/>
        <w:t>The deliverables and timelines/milestones expected of the Supplier are as follows:</w:t>
      </w:r>
    </w:p>
    <w:tbl>
      <w:tblPr>
        <w:tblW w:w="5000" w:type="pct"/>
        <w:jc w:val="start"/>
        <w:tblInd w:w="-5" w:type="dxa"/>
        <w:tblLayout w:type="fixed"/>
        <w:tblCellMar>
          <w:top w:w="0" w:type="dxa"/>
          <w:start w:w="108" w:type="dxa"/>
          <w:bottom w:w="0" w:type="dxa"/>
          <w:end w:w="108" w:type="dxa"/>
        </w:tblCellMar>
      </w:tblPr>
      <w:tblGrid>
        <w:gridCol w:w="1233"/>
        <w:gridCol w:w="4203"/>
        <w:gridCol w:w="1796"/>
        <w:gridCol w:w="1794"/>
      </w:tblGrid>
      <w:tr>
        <w:trPr/>
        <w:tc>
          <w:tcPr>
            <w:tcW w:w="1233" w:type="dxa"/>
            <w:tcBorders>
              <w:top w:val="single" w:sz="4" w:space="0" w:color="000000"/>
              <w:start w:val="single" w:sz="4" w:space="0" w:color="000000"/>
              <w:bottom w:val="single" w:sz="4" w:space="0" w:color="000000"/>
              <w:end w:val="single" w:sz="4" w:space="0" w:color="000000"/>
            </w:tcBorders>
          </w:tcPr>
          <w:p>
            <w:pPr>
              <w:pStyle w:val="Normal1"/>
              <w:spacing w:lineRule="auto" w:line="240" w:before="120" w:after="120"/>
              <w:jc w:val="both"/>
              <w:rPr>
                <w:b/>
              </w:rPr>
            </w:pPr>
            <w:r>
              <w:rPr>
                <w:b/>
              </w:rPr>
              <w:t>Milestone</w:t>
            </w:r>
          </w:p>
        </w:tc>
        <w:tc>
          <w:tcPr>
            <w:tcW w:w="4203" w:type="dxa"/>
            <w:tcBorders>
              <w:top w:val="single" w:sz="4" w:space="0" w:color="000000"/>
              <w:start w:val="single" w:sz="4" w:space="0" w:color="000000"/>
              <w:bottom w:val="single" w:sz="4" w:space="0" w:color="000000"/>
              <w:end w:val="single" w:sz="4" w:space="0" w:color="000000"/>
            </w:tcBorders>
          </w:tcPr>
          <w:p>
            <w:pPr>
              <w:pStyle w:val="Normal1"/>
              <w:spacing w:lineRule="auto" w:line="240" w:before="120" w:after="120"/>
              <w:jc w:val="both"/>
              <w:rPr>
                <w:b/>
              </w:rPr>
            </w:pPr>
            <w:r>
              <w:rPr>
                <w:b/>
              </w:rPr>
              <w:t>Description</w:t>
            </w:r>
          </w:p>
        </w:tc>
        <w:tc>
          <w:tcPr>
            <w:tcW w:w="1796" w:type="dxa"/>
            <w:tcBorders>
              <w:top w:val="single" w:sz="4" w:space="0" w:color="000000"/>
              <w:start w:val="single" w:sz="4" w:space="0" w:color="000000"/>
              <w:bottom w:val="single" w:sz="4" w:space="0" w:color="000000"/>
              <w:end w:val="single" w:sz="4" w:space="0" w:color="000000"/>
            </w:tcBorders>
          </w:tcPr>
          <w:p>
            <w:pPr>
              <w:pStyle w:val="Normal1"/>
              <w:spacing w:lineRule="auto" w:line="240" w:before="120" w:after="120"/>
              <w:jc w:val="center"/>
              <w:rPr>
                <w:b/>
              </w:rPr>
            </w:pPr>
            <w:r>
              <w:rPr>
                <w:b/>
              </w:rPr>
              <w:t>Milestone Payments</w:t>
            </w:r>
          </w:p>
          <w:p>
            <w:pPr>
              <w:pStyle w:val="Normal1"/>
              <w:spacing w:lineRule="auto" w:line="240" w:before="120" w:after="120"/>
              <w:jc w:val="center"/>
              <w:rPr>
                <w:b/>
              </w:rPr>
            </w:pPr>
            <w:r>
              <w:rPr>
                <w:b/>
              </w:rPr>
              <w:t>(% of Overall Budget Amount)</w:t>
            </w:r>
          </w:p>
        </w:tc>
        <w:tc>
          <w:tcPr>
            <w:tcW w:w="1794" w:type="dxa"/>
            <w:tcBorders>
              <w:top w:val="single" w:sz="4" w:space="0" w:color="000000"/>
              <w:start w:val="single" w:sz="4" w:space="0" w:color="000000"/>
              <w:bottom w:val="single" w:sz="4" w:space="0" w:color="000000"/>
              <w:end w:val="single" w:sz="4" w:space="0" w:color="000000"/>
            </w:tcBorders>
          </w:tcPr>
          <w:p>
            <w:pPr>
              <w:pStyle w:val="Normal1"/>
              <w:spacing w:lineRule="auto" w:line="240" w:before="120" w:after="120"/>
              <w:jc w:val="center"/>
              <w:rPr>
                <w:b/>
              </w:rPr>
            </w:pPr>
            <w:r>
              <w:rPr>
                <w:b/>
              </w:rPr>
              <w:t>Delivery By</w:t>
            </w:r>
          </w:p>
        </w:tc>
      </w:tr>
      <w:tr>
        <w:trPr/>
        <w:tc>
          <w:tcPr>
            <w:tcW w:w="1233" w:type="dxa"/>
            <w:tcBorders>
              <w:top w:val="single" w:sz="4" w:space="0" w:color="000000"/>
              <w:start w:val="single" w:sz="4" w:space="0" w:color="000000"/>
              <w:bottom w:val="single" w:sz="4" w:space="0" w:color="000000"/>
              <w:end w:val="single" w:sz="4" w:space="0" w:color="000000"/>
            </w:tcBorders>
          </w:tcPr>
          <w:p>
            <w:pPr>
              <w:pStyle w:val="Normal1"/>
              <w:spacing w:lineRule="auto" w:line="240" w:before="120" w:after="120"/>
              <w:jc w:val="center"/>
              <w:rPr>
                <w:bCs/>
              </w:rPr>
            </w:pPr>
            <w:r>
              <w:rPr>
                <w:bCs/>
              </w:rPr>
              <w:t xml:space="preserve">1. </w:t>
            </w:r>
          </w:p>
        </w:tc>
        <w:tc>
          <w:tcPr>
            <w:tcW w:w="4203" w:type="dxa"/>
            <w:tcBorders>
              <w:top w:val="single" w:sz="4" w:space="0" w:color="000000"/>
              <w:start w:val="single" w:sz="4" w:space="0" w:color="000000"/>
              <w:bottom w:val="single" w:sz="4" w:space="0" w:color="000000"/>
              <w:end w:val="single" w:sz="4" w:space="0" w:color="000000"/>
            </w:tcBorders>
          </w:tcPr>
          <w:p>
            <w:pPr>
              <w:pStyle w:val="Normal1"/>
              <w:spacing w:lineRule="auto" w:line="240" w:before="120" w:after="120"/>
              <w:jc w:val="both"/>
              <w:rPr>
                <w:bCs/>
              </w:rPr>
            </w:pPr>
            <w:r>
              <w:rPr>
                <w:bCs/>
              </w:rPr>
              <w:t>Kick-off/inception meeting</w:t>
            </w:r>
          </w:p>
        </w:tc>
        <w:tc>
          <w:tcPr>
            <w:tcW w:w="1796" w:type="dxa"/>
            <w:tcBorders>
              <w:top w:val="single" w:sz="4" w:space="0" w:color="000000"/>
              <w:start w:val="single" w:sz="4" w:space="0" w:color="000000"/>
              <w:bottom w:val="single" w:sz="4" w:space="0" w:color="000000"/>
              <w:end w:val="single" w:sz="4" w:space="0" w:color="000000"/>
            </w:tcBorders>
          </w:tcPr>
          <w:p>
            <w:pPr>
              <w:pStyle w:val="Normal1"/>
              <w:spacing w:lineRule="auto" w:line="240" w:before="120" w:after="120"/>
              <w:jc w:val="center"/>
              <w:rPr>
                <w:bCs/>
              </w:rPr>
            </w:pPr>
            <w:r>
              <w:rPr>
                <w:bCs/>
              </w:rPr>
              <w:t>0%</w:t>
            </w:r>
          </w:p>
        </w:tc>
        <w:tc>
          <w:tcPr>
            <w:tcW w:w="1794" w:type="dxa"/>
            <w:tcBorders>
              <w:top w:val="single" w:sz="4" w:space="0" w:color="000000"/>
              <w:start w:val="single" w:sz="4" w:space="0" w:color="000000"/>
              <w:bottom w:val="single" w:sz="4" w:space="0" w:color="000000"/>
              <w:end w:val="single" w:sz="4" w:space="0" w:color="000000"/>
            </w:tcBorders>
          </w:tcPr>
          <w:p>
            <w:pPr>
              <w:pStyle w:val="Normal1"/>
              <w:spacing w:lineRule="auto" w:line="240" w:before="120" w:after="120"/>
              <w:jc w:val="center"/>
              <w:rPr>
                <w:bCs/>
              </w:rPr>
            </w:pPr>
            <w:r>
              <w:rPr>
                <w:bCs/>
              </w:rPr>
              <w:t>Mid January, 2026</w:t>
            </w:r>
          </w:p>
        </w:tc>
      </w:tr>
      <w:tr>
        <w:trPr>
          <w:trHeight w:val="428" w:hRule="atLeast"/>
        </w:trPr>
        <w:tc>
          <w:tcPr>
            <w:tcW w:w="1233" w:type="dxa"/>
            <w:tcBorders>
              <w:top w:val="single" w:sz="4" w:space="0" w:color="000000"/>
              <w:start w:val="single" w:sz="4" w:space="0" w:color="000000"/>
              <w:bottom w:val="single" w:sz="4" w:space="0" w:color="000000"/>
              <w:end w:val="single" w:sz="4" w:space="0" w:color="000000"/>
            </w:tcBorders>
          </w:tcPr>
          <w:p>
            <w:pPr>
              <w:pStyle w:val="ListParagraph"/>
              <w:numPr>
                <w:ilvl w:val="0"/>
                <w:numId w:val="18"/>
              </w:numPr>
              <w:spacing w:lineRule="auto" w:line="240" w:before="120" w:after="120"/>
              <w:contextualSpacing w:val="false"/>
              <w:rPr>
                <w:szCs w:val="18"/>
              </w:rPr>
            </w:pPr>
            <w:r>
              <w:rPr>
                <w:szCs w:val="18"/>
              </w:rPr>
            </w:r>
          </w:p>
        </w:tc>
        <w:tc>
          <w:tcPr>
            <w:tcW w:w="4203" w:type="dxa"/>
            <w:tcBorders>
              <w:top w:val="single" w:sz="4" w:space="0" w:color="000000"/>
              <w:start w:val="single" w:sz="4" w:space="0" w:color="000000"/>
              <w:bottom w:val="single" w:sz="4" w:space="0" w:color="000000"/>
              <w:end w:val="single" w:sz="4" w:space="0" w:color="000000"/>
            </w:tcBorders>
          </w:tcPr>
          <w:p>
            <w:pPr>
              <w:pStyle w:val="Normal1"/>
              <w:spacing w:lineRule="auto" w:line="240" w:before="120" w:after="120"/>
              <w:rPr/>
            </w:pPr>
            <w:r>
              <w:rPr/>
              <w:t>Inception report</w:t>
            </w:r>
          </w:p>
        </w:tc>
        <w:tc>
          <w:tcPr>
            <w:tcW w:w="1796" w:type="dxa"/>
            <w:tcBorders>
              <w:top w:val="single" w:sz="4" w:space="0" w:color="000000"/>
              <w:start w:val="single" w:sz="4" w:space="0" w:color="000000"/>
              <w:bottom w:val="single" w:sz="4" w:space="0" w:color="000000"/>
              <w:end w:val="single" w:sz="4" w:space="0" w:color="000000"/>
            </w:tcBorders>
          </w:tcPr>
          <w:p>
            <w:pPr>
              <w:pStyle w:val="Normal1"/>
              <w:spacing w:lineRule="auto" w:line="240" w:before="120" w:after="120"/>
              <w:jc w:val="center"/>
              <w:rPr/>
            </w:pPr>
            <w:r>
              <w:rPr/>
              <w:t>20%</w:t>
            </w:r>
          </w:p>
        </w:tc>
        <w:tc>
          <w:tcPr>
            <w:tcW w:w="1794" w:type="dxa"/>
            <w:tcBorders>
              <w:top w:val="single" w:sz="4" w:space="0" w:color="000000"/>
              <w:start w:val="single" w:sz="4" w:space="0" w:color="000000"/>
              <w:bottom w:val="single" w:sz="4" w:space="0" w:color="000000"/>
              <w:end w:val="single" w:sz="4" w:space="0" w:color="000000"/>
            </w:tcBorders>
          </w:tcPr>
          <w:p>
            <w:pPr>
              <w:pStyle w:val="Normal1"/>
              <w:spacing w:lineRule="auto" w:line="240" w:before="120" w:after="120"/>
              <w:jc w:val="center"/>
              <w:rPr/>
            </w:pPr>
            <w:r>
              <w:rPr/>
              <w:t>End of January 2026</w:t>
            </w:r>
          </w:p>
        </w:tc>
      </w:tr>
      <w:tr>
        <w:trPr>
          <w:trHeight w:val="428" w:hRule="atLeast"/>
        </w:trPr>
        <w:tc>
          <w:tcPr>
            <w:tcW w:w="1233" w:type="dxa"/>
            <w:tcBorders>
              <w:top w:val="single" w:sz="4" w:space="0" w:color="000000"/>
              <w:start w:val="single" w:sz="4" w:space="0" w:color="000000"/>
              <w:bottom w:val="single" w:sz="4" w:space="0" w:color="000000"/>
              <w:end w:val="single" w:sz="4" w:space="0" w:color="000000"/>
            </w:tcBorders>
          </w:tcPr>
          <w:p>
            <w:pPr>
              <w:pStyle w:val="ListParagraph"/>
              <w:numPr>
                <w:ilvl w:val="0"/>
                <w:numId w:val="18"/>
              </w:numPr>
              <w:spacing w:lineRule="auto" w:line="240" w:before="120" w:after="120"/>
              <w:contextualSpacing w:val="false"/>
              <w:rPr>
                <w:szCs w:val="18"/>
              </w:rPr>
            </w:pPr>
            <w:r>
              <w:rPr>
                <w:szCs w:val="18"/>
              </w:rPr>
            </w:r>
          </w:p>
        </w:tc>
        <w:tc>
          <w:tcPr>
            <w:tcW w:w="4203" w:type="dxa"/>
            <w:tcBorders>
              <w:top w:val="single" w:sz="4" w:space="0" w:color="000000"/>
              <w:start w:val="single" w:sz="4" w:space="0" w:color="000000"/>
              <w:bottom w:val="single" w:sz="4" w:space="0" w:color="000000"/>
              <w:end w:val="single" w:sz="4" w:space="0" w:color="000000"/>
            </w:tcBorders>
          </w:tcPr>
          <w:p>
            <w:pPr>
              <w:pStyle w:val="Normal1"/>
              <w:spacing w:lineRule="auto" w:line="240" w:before="120" w:after="120"/>
              <w:rPr/>
            </w:pPr>
            <w:r>
              <w:rPr/>
              <w:t>Draft research report</w:t>
            </w:r>
          </w:p>
        </w:tc>
        <w:tc>
          <w:tcPr>
            <w:tcW w:w="1796" w:type="dxa"/>
            <w:tcBorders>
              <w:top w:val="single" w:sz="4" w:space="0" w:color="000000"/>
              <w:start w:val="single" w:sz="4" w:space="0" w:color="000000"/>
              <w:bottom w:val="single" w:sz="4" w:space="0" w:color="000000"/>
              <w:end w:val="single" w:sz="4" w:space="0" w:color="000000"/>
            </w:tcBorders>
          </w:tcPr>
          <w:p>
            <w:pPr>
              <w:pStyle w:val="Normal1"/>
              <w:spacing w:lineRule="auto" w:line="240" w:before="120" w:after="120"/>
              <w:jc w:val="center"/>
              <w:rPr/>
            </w:pPr>
            <w:r>
              <w:rPr/>
              <w:t>40%</w:t>
            </w:r>
          </w:p>
        </w:tc>
        <w:tc>
          <w:tcPr>
            <w:tcW w:w="1794" w:type="dxa"/>
            <w:tcBorders>
              <w:top w:val="single" w:sz="4" w:space="0" w:color="000000"/>
              <w:start w:val="single" w:sz="4" w:space="0" w:color="000000"/>
              <w:bottom w:val="single" w:sz="4" w:space="0" w:color="000000"/>
              <w:end w:val="single" w:sz="4" w:space="0" w:color="000000"/>
            </w:tcBorders>
          </w:tcPr>
          <w:p>
            <w:pPr>
              <w:pStyle w:val="Normal1"/>
              <w:spacing w:lineRule="auto" w:line="240" w:before="120" w:after="120"/>
              <w:jc w:val="center"/>
              <w:rPr/>
            </w:pPr>
            <w:r>
              <w:rPr/>
              <w:t>Mid-March 2026</w:t>
            </w:r>
          </w:p>
        </w:tc>
      </w:tr>
      <w:tr>
        <w:trPr>
          <w:trHeight w:val="428" w:hRule="atLeast"/>
        </w:trPr>
        <w:tc>
          <w:tcPr>
            <w:tcW w:w="1233" w:type="dxa"/>
            <w:tcBorders>
              <w:top w:val="single" w:sz="4" w:space="0" w:color="000000"/>
              <w:start w:val="single" w:sz="4" w:space="0" w:color="000000"/>
              <w:bottom w:val="single" w:sz="4" w:space="0" w:color="000000"/>
              <w:end w:val="single" w:sz="4" w:space="0" w:color="000000"/>
            </w:tcBorders>
          </w:tcPr>
          <w:p>
            <w:pPr>
              <w:pStyle w:val="ListParagraph"/>
              <w:numPr>
                <w:ilvl w:val="0"/>
                <w:numId w:val="18"/>
              </w:numPr>
              <w:spacing w:lineRule="auto" w:line="240" w:before="120" w:after="120"/>
              <w:contextualSpacing w:val="false"/>
              <w:rPr>
                <w:szCs w:val="18"/>
              </w:rPr>
            </w:pPr>
            <w:r>
              <w:rPr>
                <w:szCs w:val="18"/>
              </w:rPr>
            </w:r>
          </w:p>
        </w:tc>
        <w:tc>
          <w:tcPr>
            <w:tcW w:w="4203" w:type="dxa"/>
            <w:tcBorders>
              <w:top w:val="single" w:sz="4" w:space="0" w:color="000000"/>
              <w:start w:val="single" w:sz="4" w:space="0" w:color="000000"/>
              <w:bottom w:val="single" w:sz="4" w:space="0" w:color="000000"/>
              <w:end w:val="single" w:sz="4" w:space="0" w:color="000000"/>
            </w:tcBorders>
          </w:tcPr>
          <w:p>
            <w:pPr>
              <w:pStyle w:val="Normal1"/>
              <w:spacing w:lineRule="auto" w:line="240" w:before="120" w:after="120"/>
              <w:rPr/>
            </w:pPr>
            <w:r>
              <w:rPr/>
              <w:t>Validation workshop</w:t>
            </w:r>
          </w:p>
        </w:tc>
        <w:tc>
          <w:tcPr>
            <w:tcW w:w="1796" w:type="dxa"/>
            <w:tcBorders>
              <w:top w:val="single" w:sz="4" w:space="0" w:color="000000"/>
              <w:start w:val="single" w:sz="4" w:space="0" w:color="000000"/>
              <w:bottom w:val="single" w:sz="4" w:space="0" w:color="000000"/>
              <w:end w:val="single" w:sz="4" w:space="0" w:color="000000"/>
            </w:tcBorders>
          </w:tcPr>
          <w:p>
            <w:pPr>
              <w:pStyle w:val="Normal1"/>
              <w:spacing w:lineRule="auto" w:line="240" w:before="120" w:after="120"/>
              <w:jc w:val="center"/>
              <w:rPr/>
            </w:pPr>
            <w:r>
              <w:rPr/>
              <w:t>10%</w:t>
            </w:r>
          </w:p>
        </w:tc>
        <w:tc>
          <w:tcPr>
            <w:tcW w:w="1794" w:type="dxa"/>
            <w:tcBorders>
              <w:top w:val="single" w:sz="4" w:space="0" w:color="000000"/>
              <w:start w:val="single" w:sz="4" w:space="0" w:color="000000"/>
              <w:bottom w:val="single" w:sz="4" w:space="0" w:color="000000"/>
              <w:end w:val="single" w:sz="4" w:space="0" w:color="000000"/>
            </w:tcBorders>
          </w:tcPr>
          <w:p>
            <w:pPr>
              <w:pStyle w:val="Normal1"/>
              <w:spacing w:lineRule="auto" w:line="240" w:before="120" w:after="120"/>
              <w:jc w:val="center"/>
              <w:rPr/>
            </w:pPr>
            <w:r>
              <w:rPr/>
              <w:t>Late March 2026</w:t>
            </w:r>
          </w:p>
        </w:tc>
      </w:tr>
      <w:tr>
        <w:trPr>
          <w:trHeight w:val="428" w:hRule="atLeast"/>
        </w:trPr>
        <w:tc>
          <w:tcPr>
            <w:tcW w:w="1233" w:type="dxa"/>
            <w:tcBorders>
              <w:top w:val="single" w:sz="4" w:space="0" w:color="000000"/>
              <w:start w:val="single" w:sz="4" w:space="0" w:color="000000"/>
              <w:bottom w:val="single" w:sz="4" w:space="0" w:color="000000"/>
              <w:end w:val="single" w:sz="4" w:space="0" w:color="000000"/>
            </w:tcBorders>
          </w:tcPr>
          <w:p>
            <w:pPr>
              <w:pStyle w:val="ListParagraph"/>
              <w:numPr>
                <w:ilvl w:val="0"/>
                <w:numId w:val="18"/>
              </w:numPr>
              <w:spacing w:lineRule="auto" w:line="240" w:before="120" w:after="120"/>
              <w:contextualSpacing w:val="false"/>
              <w:rPr>
                <w:szCs w:val="18"/>
              </w:rPr>
            </w:pPr>
            <w:r>
              <w:rPr>
                <w:szCs w:val="18"/>
              </w:rPr>
            </w:r>
          </w:p>
        </w:tc>
        <w:tc>
          <w:tcPr>
            <w:tcW w:w="4203" w:type="dxa"/>
            <w:tcBorders>
              <w:top w:val="single" w:sz="4" w:space="0" w:color="000000"/>
              <w:start w:val="single" w:sz="4" w:space="0" w:color="000000"/>
              <w:bottom w:val="single" w:sz="4" w:space="0" w:color="000000"/>
              <w:end w:val="single" w:sz="4" w:space="0" w:color="000000"/>
            </w:tcBorders>
          </w:tcPr>
          <w:p>
            <w:pPr>
              <w:pStyle w:val="Normal1"/>
              <w:spacing w:lineRule="auto" w:line="240" w:before="120" w:after="120"/>
              <w:rPr/>
            </w:pPr>
            <w:r>
              <w:rPr/>
              <w:t>Final research report and policy brief including dissemination activities</w:t>
            </w:r>
          </w:p>
        </w:tc>
        <w:tc>
          <w:tcPr>
            <w:tcW w:w="1796" w:type="dxa"/>
            <w:tcBorders>
              <w:top w:val="single" w:sz="4" w:space="0" w:color="000000"/>
              <w:start w:val="single" w:sz="4" w:space="0" w:color="000000"/>
              <w:bottom w:val="single" w:sz="4" w:space="0" w:color="000000"/>
              <w:end w:val="single" w:sz="4" w:space="0" w:color="000000"/>
            </w:tcBorders>
          </w:tcPr>
          <w:p>
            <w:pPr>
              <w:pStyle w:val="Normal1"/>
              <w:spacing w:lineRule="auto" w:line="240" w:before="120" w:after="120"/>
              <w:jc w:val="center"/>
              <w:rPr/>
            </w:pPr>
            <w:r>
              <w:rPr/>
              <w:t>40%</w:t>
            </w:r>
          </w:p>
        </w:tc>
        <w:tc>
          <w:tcPr>
            <w:tcW w:w="1794" w:type="dxa"/>
            <w:tcBorders>
              <w:top w:val="single" w:sz="4" w:space="0" w:color="000000"/>
              <w:start w:val="single" w:sz="4" w:space="0" w:color="000000"/>
              <w:bottom w:val="single" w:sz="4" w:space="0" w:color="000000"/>
              <w:end w:val="single" w:sz="4" w:space="0" w:color="000000"/>
            </w:tcBorders>
          </w:tcPr>
          <w:p>
            <w:pPr>
              <w:pStyle w:val="Normal1"/>
              <w:spacing w:lineRule="auto" w:line="240" w:before="120" w:after="120"/>
              <w:jc w:val="center"/>
              <w:rPr/>
            </w:pPr>
            <w:r>
              <w:rPr/>
              <w:t>Mid-April 2026</w:t>
            </w:r>
          </w:p>
        </w:tc>
      </w:tr>
    </w:tbl>
    <w:p>
      <w:pPr>
        <w:pStyle w:val="Normal1"/>
        <w:spacing w:lineRule="auto" w:line="240" w:before="120" w:after="120"/>
        <w:rPr>
          <w:b/>
        </w:rPr>
      </w:pPr>
      <w:r>
        <w:rPr>
          <w:b/>
        </w:rPr>
      </w:r>
    </w:p>
    <w:tbl>
      <w:tblPr>
        <w:tblW w:w="5000" w:type="pct"/>
        <w:jc w:val="start"/>
        <w:tblInd w:w="-5" w:type="dxa"/>
        <w:tblLayout w:type="fixed"/>
        <w:tblCellMar>
          <w:top w:w="0" w:type="dxa"/>
          <w:start w:w="108" w:type="dxa"/>
          <w:bottom w:w="0" w:type="dxa"/>
          <w:end w:w="108" w:type="dxa"/>
        </w:tblCellMar>
      </w:tblPr>
      <w:tblGrid>
        <w:gridCol w:w="9026"/>
      </w:tblGrid>
      <w:tr>
        <w:trPr/>
        <w:tc>
          <w:tcPr>
            <w:tcW w:w="9026" w:type="dxa"/>
            <w:tcBorders>
              <w:top w:val="single" w:sz="4" w:space="0" w:color="000000"/>
              <w:start w:val="single" w:sz="4" w:space="0" w:color="000000"/>
              <w:bottom w:val="single" w:sz="4" w:space="0" w:color="000000"/>
              <w:end w:val="single" w:sz="4" w:space="0" w:color="000000"/>
            </w:tcBorders>
          </w:tcPr>
          <w:p>
            <w:pPr>
              <w:pStyle w:val="Normal1"/>
              <w:spacing w:lineRule="auto" w:line="240" w:before="120" w:after="120"/>
              <w:rPr>
                <w:b/>
                <w:bCs/>
              </w:rPr>
            </w:pPr>
            <w:r>
              <w:rPr>
                <w:b/>
                <w:bCs/>
              </w:rPr>
              <w:t>7. QUALITY ASSURANCE MECHANISMS</w:t>
            </w:r>
          </w:p>
        </w:tc>
      </w:tr>
    </w:tbl>
    <w:p>
      <w:pPr>
        <w:pStyle w:val="Normal1"/>
        <w:spacing w:lineRule="auto" w:line="240" w:before="120" w:after="120"/>
        <w:jc w:val="both"/>
        <w:rPr>
          <w:i/>
        </w:rPr>
      </w:pPr>
      <w:r>
        <w:rPr>
          <w:i/>
        </w:rPr>
        <w:t>Please indicate by ticking the appropriate box/s below the level of Peer Review/Quality Assurance required for the project. This includes peer review, data quality assurance, and feedback from the FCDO.</w:t>
      </w:r>
    </w:p>
    <w:tbl>
      <w:tblPr>
        <w:tblW w:w="9019" w:type="dxa"/>
        <w:jc w:val="start"/>
        <w:tblInd w:w="-5" w:type="dxa"/>
        <w:tblLayout w:type="fixed"/>
        <w:tblCellMar>
          <w:top w:w="0" w:type="dxa"/>
          <w:start w:w="108" w:type="dxa"/>
          <w:bottom w:w="0" w:type="dxa"/>
          <w:end w:w="108" w:type="dxa"/>
        </w:tblCellMar>
      </w:tblPr>
      <w:tblGrid>
        <w:gridCol w:w="7366"/>
        <w:gridCol w:w="1653"/>
      </w:tblGrid>
      <w:tr>
        <w:trPr/>
        <w:tc>
          <w:tcPr>
            <w:tcW w:w="9019" w:type="dxa"/>
            <w:gridSpan w:val="2"/>
            <w:tcBorders>
              <w:top w:val="single" w:sz="4" w:space="0" w:color="000000"/>
              <w:start w:val="single" w:sz="4" w:space="0" w:color="000000"/>
              <w:bottom w:val="single" w:sz="4" w:space="0" w:color="000000"/>
              <w:end w:val="single" w:sz="4" w:space="0" w:color="000000"/>
            </w:tcBorders>
          </w:tcPr>
          <w:p>
            <w:pPr>
              <w:pStyle w:val="Normal1"/>
              <w:spacing w:lineRule="auto" w:line="240" w:before="120" w:after="120"/>
              <w:jc w:val="center"/>
              <w:rPr>
                <w:b/>
                <w:bCs/>
              </w:rPr>
            </w:pPr>
            <w:r>
              <w:rPr>
                <w:b/>
                <w:bCs/>
              </w:rPr>
              <w:t>Peer review/Quality Assurance Required</w:t>
            </w:r>
          </w:p>
        </w:tc>
      </w:tr>
      <w:tr>
        <w:trPr/>
        <w:tc>
          <w:tcPr>
            <w:tcW w:w="7366" w:type="dxa"/>
            <w:tcBorders>
              <w:top w:val="single" w:sz="4" w:space="0" w:color="000000"/>
              <w:start w:val="single" w:sz="4" w:space="0" w:color="000000"/>
              <w:bottom w:val="single" w:sz="4" w:space="0" w:color="000000"/>
              <w:end w:val="single" w:sz="4" w:space="0" w:color="000000"/>
            </w:tcBorders>
          </w:tcPr>
          <w:p>
            <w:pPr>
              <w:pStyle w:val="Normal1"/>
              <w:spacing w:lineRule="auto" w:line="240" w:before="120" w:after="120"/>
              <w:rPr/>
            </w:pPr>
            <w:r>
              <w:rPr>
                <w:rStyle w:val="DefaultParagraphFont"/>
                <w:color w:val="000000"/>
              </w:rPr>
              <w:t>Peer review/ quality assurance completed in-house by FCDO</w:t>
            </w:r>
          </w:p>
        </w:tc>
        <w:tc>
          <w:tcPr>
            <w:tcW w:w="1653" w:type="dxa"/>
            <w:tcBorders>
              <w:top w:val="single" w:sz="4" w:space="0" w:color="000000"/>
              <w:start w:val="single" w:sz="4" w:space="0" w:color="000000"/>
              <w:bottom w:val="single" w:sz="4" w:space="0" w:color="000000"/>
              <w:end w:val="single" w:sz="4" w:space="0" w:color="000000"/>
            </w:tcBorders>
          </w:tcPr>
          <w:p>
            <w:pPr>
              <w:pStyle w:val="Normal1"/>
              <w:spacing w:lineRule="auto" w:line="240" w:before="120" w:after="120"/>
              <w:rPr/>
            </w:pPr>
            <w:r>
              <w:rPr/>
              <w:t>Yes</w:t>
            </w:r>
          </w:p>
        </w:tc>
      </w:tr>
      <w:tr>
        <w:trPr/>
        <w:tc>
          <w:tcPr>
            <w:tcW w:w="7366" w:type="dxa"/>
            <w:tcBorders>
              <w:top w:val="single" w:sz="4" w:space="0" w:color="000000"/>
              <w:start w:val="single" w:sz="4" w:space="0" w:color="000000"/>
              <w:bottom w:val="single" w:sz="4" w:space="0" w:color="000000"/>
              <w:end w:val="single" w:sz="4" w:space="0" w:color="000000"/>
            </w:tcBorders>
          </w:tcPr>
          <w:p>
            <w:pPr>
              <w:pStyle w:val="Normal1"/>
              <w:spacing w:lineRule="auto" w:line="240" w:before="120" w:after="120"/>
              <w:rPr/>
            </w:pPr>
            <w:r>
              <w:rPr>
                <w:rStyle w:val="DefaultParagraphFont"/>
                <w:color w:val="000000"/>
              </w:rPr>
              <w:t>Peer review/ quality assurance arranged by the research provider as part of their contract</w:t>
            </w:r>
          </w:p>
        </w:tc>
        <w:tc>
          <w:tcPr>
            <w:tcW w:w="1653" w:type="dxa"/>
            <w:tcBorders>
              <w:top w:val="single" w:sz="4" w:space="0" w:color="000000"/>
              <w:start w:val="single" w:sz="4" w:space="0" w:color="000000"/>
              <w:bottom w:val="single" w:sz="4" w:space="0" w:color="000000"/>
              <w:end w:val="single" w:sz="4" w:space="0" w:color="000000"/>
            </w:tcBorders>
          </w:tcPr>
          <w:p>
            <w:pPr>
              <w:pStyle w:val="Normal1"/>
              <w:spacing w:lineRule="auto" w:line="240" w:before="120" w:after="120"/>
              <w:rPr/>
            </w:pPr>
            <w:r>
              <w:rPr/>
              <w:t>Yes</w:t>
            </w:r>
          </w:p>
        </w:tc>
      </w:tr>
      <w:tr>
        <w:trPr/>
        <w:tc>
          <w:tcPr>
            <w:tcW w:w="7366" w:type="dxa"/>
            <w:tcBorders>
              <w:top w:val="single" w:sz="4" w:space="0" w:color="000000"/>
              <w:start w:val="single" w:sz="4" w:space="0" w:color="000000"/>
              <w:bottom w:val="single" w:sz="4" w:space="0" w:color="000000"/>
              <w:end w:val="single" w:sz="4" w:space="0" w:color="000000"/>
            </w:tcBorders>
          </w:tcPr>
          <w:p>
            <w:pPr>
              <w:pStyle w:val="Normal1"/>
              <w:spacing w:lineRule="auto" w:line="240" w:before="120" w:after="120"/>
              <w:rPr/>
            </w:pPr>
            <w:r>
              <w:rPr/>
              <w:t>Independent peer review independently carried out, through a contract with the Fund Manager</w:t>
            </w:r>
          </w:p>
        </w:tc>
        <w:tc>
          <w:tcPr>
            <w:tcW w:w="1653" w:type="dxa"/>
            <w:tcBorders>
              <w:top w:val="single" w:sz="4" w:space="0" w:color="000000"/>
              <w:start w:val="single" w:sz="4" w:space="0" w:color="000000"/>
              <w:bottom w:val="single" w:sz="4" w:space="0" w:color="000000"/>
              <w:end w:val="single" w:sz="4" w:space="0" w:color="000000"/>
            </w:tcBorders>
          </w:tcPr>
          <w:p>
            <w:pPr>
              <w:pStyle w:val="Normal1"/>
              <w:spacing w:lineRule="auto" w:line="240" w:before="120" w:after="120"/>
              <w:rPr/>
            </w:pPr>
            <w:r>
              <w:rPr/>
            </w:r>
          </w:p>
        </w:tc>
      </w:tr>
      <w:tr>
        <w:trPr/>
        <w:tc>
          <w:tcPr>
            <w:tcW w:w="7366" w:type="dxa"/>
            <w:tcBorders>
              <w:top w:val="single" w:sz="4" w:space="0" w:color="000000"/>
              <w:start w:val="single" w:sz="4" w:space="0" w:color="000000"/>
              <w:bottom w:val="single" w:sz="4" w:space="0" w:color="000000"/>
              <w:end w:val="single" w:sz="4" w:space="0" w:color="000000"/>
            </w:tcBorders>
          </w:tcPr>
          <w:p>
            <w:pPr>
              <w:pStyle w:val="Normal1"/>
              <w:spacing w:lineRule="auto" w:line="240" w:before="120" w:after="120"/>
              <w:rPr/>
            </w:pPr>
            <w:r>
              <w:rPr/>
              <w:t>Further EqUALS review for all evaluation products</w:t>
            </w:r>
          </w:p>
        </w:tc>
        <w:tc>
          <w:tcPr>
            <w:tcW w:w="1653" w:type="dxa"/>
            <w:tcBorders>
              <w:top w:val="single" w:sz="4" w:space="0" w:color="000000"/>
              <w:start w:val="single" w:sz="4" w:space="0" w:color="000000"/>
              <w:bottom w:val="single" w:sz="4" w:space="0" w:color="000000"/>
              <w:end w:val="single" w:sz="4" w:space="0" w:color="000000"/>
            </w:tcBorders>
          </w:tcPr>
          <w:p>
            <w:pPr>
              <w:pStyle w:val="Normal1"/>
              <w:spacing w:lineRule="auto" w:line="240" w:before="120" w:after="120"/>
              <w:rPr/>
            </w:pPr>
            <w:r>
              <w:rPr/>
            </w:r>
          </w:p>
        </w:tc>
      </w:tr>
    </w:tbl>
    <w:p>
      <w:pPr>
        <w:pStyle w:val="Normal1"/>
        <w:spacing w:lineRule="auto" w:line="240" w:before="120" w:after="120"/>
        <w:rPr/>
      </w:pPr>
      <w:r>
        <w:rPr/>
      </w:r>
    </w:p>
    <w:tbl>
      <w:tblPr>
        <w:tblW w:w="5000" w:type="pct"/>
        <w:jc w:val="start"/>
        <w:tblInd w:w="-5" w:type="dxa"/>
        <w:tblLayout w:type="fixed"/>
        <w:tblCellMar>
          <w:top w:w="0" w:type="dxa"/>
          <w:start w:w="108" w:type="dxa"/>
          <w:bottom w:w="0" w:type="dxa"/>
          <w:end w:w="108" w:type="dxa"/>
        </w:tblCellMar>
      </w:tblPr>
      <w:tblGrid>
        <w:gridCol w:w="9026"/>
      </w:tblGrid>
      <w:tr>
        <w:trPr/>
        <w:tc>
          <w:tcPr>
            <w:tcW w:w="9026" w:type="dxa"/>
            <w:tcBorders>
              <w:top w:val="single" w:sz="4" w:space="0" w:color="000000"/>
              <w:start w:val="single" w:sz="4" w:space="0" w:color="000000"/>
              <w:bottom w:val="single" w:sz="4" w:space="0" w:color="000000"/>
              <w:end w:val="single" w:sz="4" w:space="0" w:color="000000"/>
            </w:tcBorders>
          </w:tcPr>
          <w:p>
            <w:pPr>
              <w:pStyle w:val="Normal1"/>
              <w:spacing w:lineRule="auto" w:line="240" w:before="120" w:after="120"/>
              <w:rPr>
                <w:b/>
                <w:bCs/>
              </w:rPr>
            </w:pPr>
            <w:r>
              <w:rPr>
                <w:b/>
                <w:bCs/>
              </w:rPr>
              <w:t xml:space="preserve">8. COMPETENCIES </w:t>
            </w:r>
          </w:p>
        </w:tc>
      </w:tr>
    </w:tbl>
    <w:p>
      <w:pPr>
        <w:pStyle w:val="Normal1"/>
        <w:spacing w:lineRule="auto" w:line="240" w:before="120" w:after="120"/>
        <w:jc w:val="both"/>
        <w:rPr/>
      </w:pPr>
      <w:r>
        <w:rPr/>
        <w:t>It is expected that the core team delivering this work will have the requisite technical and contextual experience in the collation, interpretation, synthesis, and communication of the research findings and recommendations.</w:t>
      </w:r>
    </w:p>
    <w:p>
      <w:pPr>
        <w:pStyle w:val="Normal1"/>
        <w:spacing w:lineRule="auto" w:line="240" w:before="120" w:after="120"/>
        <w:jc w:val="both"/>
        <w:rPr/>
      </w:pPr>
      <w:r>
        <w:rPr/>
      </w:r>
    </w:p>
    <w:tbl>
      <w:tblPr>
        <w:tblW w:w="5000" w:type="pct"/>
        <w:jc w:val="start"/>
        <w:tblInd w:w="-5" w:type="dxa"/>
        <w:tblLayout w:type="fixed"/>
        <w:tblCellMar>
          <w:top w:w="0" w:type="dxa"/>
          <w:start w:w="108" w:type="dxa"/>
          <w:bottom w:w="0" w:type="dxa"/>
          <w:end w:w="108" w:type="dxa"/>
        </w:tblCellMar>
      </w:tblPr>
      <w:tblGrid>
        <w:gridCol w:w="9026"/>
      </w:tblGrid>
      <w:tr>
        <w:trPr/>
        <w:tc>
          <w:tcPr>
            <w:tcW w:w="9026" w:type="dxa"/>
            <w:tcBorders>
              <w:top w:val="single" w:sz="4" w:space="0" w:color="000000"/>
              <w:start w:val="single" w:sz="4" w:space="0" w:color="000000"/>
              <w:bottom w:val="single" w:sz="4" w:space="0" w:color="000000"/>
              <w:end w:val="single" w:sz="4" w:space="0" w:color="000000"/>
            </w:tcBorders>
          </w:tcPr>
          <w:p>
            <w:pPr>
              <w:pStyle w:val="Normal1"/>
              <w:spacing w:lineRule="auto" w:line="240" w:before="120" w:after="120"/>
              <w:rPr>
                <w:b/>
                <w:bCs/>
              </w:rPr>
            </w:pPr>
            <w:r>
              <w:rPr>
                <w:b/>
                <w:bCs/>
              </w:rPr>
              <w:t>9. SUBMISSIONS</w:t>
            </w:r>
          </w:p>
        </w:tc>
      </w:tr>
    </w:tbl>
    <w:p>
      <w:pPr>
        <w:pStyle w:val="Normal1"/>
        <w:spacing w:lineRule="auto" w:line="240" w:before="120" w:after="120"/>
        <w:rPr/>
      </w:pPr>
      <w:r>
        <w:rPr/>
        <w:t xml:space="preserve">The Supplier is required to submit all outputs in accordance with the expectations and page limits set out in the application template. </w:t>
      </w:r>
    </w:p>
    <w:p>
      <w:pPr>
        <w:pStyle w:val="Normal1"/>
        <w:spacing w:lineRule="auto" w:line="240" w:before="120" w:after="120"/>
        <w:rPr/>
      </w:pPr>
      <w:r>
        <w:rPr/>
      </w:r>
    </w:p>
    <w:tbl>
      <w:tblPr>
        <w:tblW w:w="5000" w:type="pct"/>
        <w:jc w:val="start"/>
        <w:tblInd w:w="-5" w:type="dxa"/>
        <w:tblLayout w:type="fixed"/>
        <w:tblCellMar>
          <w:top w:w="0" w:type="dxa"/>
          <w:start w:w="108" w:type="dxa"/>
          <w:bottom w:w="0" w:type="dxa"/>
          <w:end w:w="108" w:type="dxa"/>
        </w:tblCellMar>
      </w:tblPr>
      <w:tblGrid>
        <w:gridCol w:w="9026"/>
      </w:tblGrid>
      <w:tr>
        <w:trPr/>
        <w:tc>
          <w:tcPr>
            <w:tcW w:w="9026" w:type="dxa"/>
            <w:tcBorders>
              <w:top w:val="single" w:sz="4" w:space="0" w:color="000000"/>
              <w:start w:val="single" w:sz="4" w:space="0" w:color="000000"/>
              <w:bottom w:val="single" w:sz="4" w:space="0" w:color="000000"/>
              <w:end w:val="single" w:sz="4" w:space="0" w:color="000000"/>
            </w:tcBorders>
          </w:tcPr>
          <w:p>
            <w:pPr>
              <w:pStyle w:val="Normal1"/>
              <w:spacing w:lineRule="auto" w:line="240" w:before="120" w:after="120"/>
              <w:rPr>
                <w:b/>
                <w:bCs/>
              </w:rPr>
            </w:pPr>
            <w:r>
              <w:rPr>
                <w:b/>
                <w:bCs/>
              </w:rPr>
              <w:t>10. MANAGEMENT ARRANGEMENTS</w:t>
            </w:r>
          </w:p>
        </w:tc>
      </w:tr>
    </w:tbl>
    <w:p>
      <w:pPr>
        <w:pStyle w:val="Normal1"/>
        <w:spacing w:lineRule="auto" w:line="240" w:before="120" w:after="120"/>
        <w:rPr/>
      </w:pPr>
      <w:r>
        <w:rPr/>
        <w:t>The Supplier will design and manage this research study, including drawing together the findings for reporting.</w:t>
      </w:r>
    </w:p>
    <w:p>
      <w:pPr>
        <w:pStyle w:val="Normal1"/>
        <w:spacing w:lineRule="auto" w:line="240" w:before="120" w:after="120"/>
        <w:rPr/>
      </w:pPr>
      <w:r>
        <w:rPr/>
        <w:t xml:space="preserve">This project will be administered by a FDCO EARIH lead adviser. </w:t>
      </w:r>
    </w:p>
    <w:p>
      <w:pPr>
        <w:pStyle w:val="Normal1"/>
        <w:spacing w:lineRule="auto" w:line="240" w:before="120" w:after="120"/>
        <w:rPr/>
      </w:pPr>
      <w:r>
        <w:rPr/>
        <w:t>The Supplier will quality-assure all outputs before submission to the EARIH lead adviser. The Supplier will be required to comply with FCDO reporting requirements. The Supplier will be responsible for alerting the EARIH lead adviser as early as possible of any emerging issues and risks, to ensure that the project is staying on track.</w:t>
      </w:r>
    </w:p>
    <w:p>
      <w:pPr>
        <w:pStyle w:val="Normal1"/>
        <w:spacing w:lineRule="auto" w:line="240" w:before="120" w:after="120"/>
        <w:rPr/>
      </w:pPr>
      <w:r>
        <w:rPr/>
        <w:t xml:space="preserve">All deliverables will need to be reviewed and approved by the FCDO technical steering group; however, the Supplier is encouraged to embed their own internal mechanisms for quality assurance. </w:t>
      </w:r>
    </w:p>
    <w:p>
      <w:pPr>
        <w:pStyle w:val="Normal1"/>
        <w:spacing w:lineRule="auto" w:line="240" w:before="120" w:after="120"/>
        <w:rPr/>
      </w:pPr>
      <w:r>
        <w:rPr/>
        <w:t xml:space="preserve">The Supplier will be required to review and outline how they plan to manage any potential conflicts of interest identified during proposal development. </w:t>
      </w:r>
    </w:p>
    <w:p>
      <w:pPr>
        <w:pStyle w:val="Normal1"/>
        <w:spacing w:lineRule="auto" w:line="240" w:before="120" w:after="120"/>
        <w:rPr/>
      </w:pPr>
      <w:r>
        <w:rPr/>
        <w:t>The Supplier will be required to attend several meetings during all phases of the work, comprising largely of virtual meetings.</w:t>
      </w:r>
    </w:p>
    <w:p>
      <w:pPr>
        <w:pStyle w:val="Normal1"/>
        <w:spacing w:lineRule="auto" w:line="240" w:before="120" w:after="120"/>
        <w:rPr/>
      </w:pPr>
      <w:r>
        <w:rPr/>
      </w:r>
    </w:p>
    <w:tbl>
      <w:tblPr>
        <w:tblW w:w="5000" w:type="pct"/>
        <w:jc w:val="start"/>
        <w:tblInd w:w="-5" w:type="dxa"/>
        <w:tblLayout w:type="fixed"/>
        <w:tblCellMar>
          <w:top w:w="0" w:type="dxa"/>
          <w:start w:w="108" w:type="dxa"/>
          <w:bottom w:w="0" w:type="dxa"/>
          <w:end w:w="108" w:type="dxa"/>
        </w:tblCellMar>
      </w:tblPr>
      <w:tblGrid>
        <w:gridCol w:w="9026"/>
      </w:tblGrid>
      <w:tr>
        <w:trPr/>
        <w:tc>
          <w:tcPr>
            <w:tcW w:w="9026" w:type="dxa"/>
            <w:tcBorders>
              <w:top w:val="single" w:sz="4" w:space="0" w:color="000000"/>
              <w:start w:val="single" w:sz="4" w:space="0" w:color="000000"/>
              <w:bottom w:val="single" w:sz="4" w:space="0" w:color="000000"/>
              <w:end w:val="single" w:sz="4" w:space="0" w:color="000000"/>
            </w:tcBorders>
          </w:tcPr>
          <w:p>
            <w:pPr>
              <w:pStyle w:val="Normal1"/>
              <w:spacing w:lineRule="auto" w:line="240" w:before="120" w:after="120"/>
              <w:rPr>
                <w:b/>
                <w:bCs/>
              </w:rPr>
            </w:pPr>
            <w:r>
              <w:rPr>
                <w:b/>
                <w:bCs/>
              </w:rPr>
              <w:t>11. BIDDING PROCESS</w:t>
            </w:r>
          </w:p>
        </w:tc>
      </w:tr>
    </w:tbl>
    <w:p>
      <w:pPr>
        <w:pStyle w:val="Normal1"/>
        <w:spacing w:lineRule="auto" w:line="240" w:before="120" w:after="120"/>
        <w:rPr/>
      </w:pPr>
      <w:r>
        <w:rPr>
          <w:rStyle w:val="DefaultParagraphFont"/>
          <w:lang w:val="en-US"/>
        </w:rPr>
        <w:t xml:space="preserve">Technical and financial proposals should be sent as two separate files to </w:t>
      </w:r>
      <w:hyperlink r:id="rId2" w:tgtFrame="_top">
        <w:r>
          <w:rPr>
            <w:rStyle w:val="Hyperlink"/>
            <w:rFonts w:eastAsia="Times New Roman"/>
            <w:sz w:val="24"/>
            <w:szCs w:val="24"/>
          </w:rPr>
          <w:t>ke_evidencefundeastafrica@pwc.com</w:t>
        </w:r>
      </w:hyperlink>
      <w:r>
        <w:rPr>
          <w:rStyle w:val="DefaultParagraphFont"/>
          <w:lang w:val="en-US"/>
        </w:rPr>
        <w:t xml:space="preserve"> by </w:t>
      </w:r>
      <w:r>
        <w:rPr>
          <w:rStyle w:val="DefaultParagraphFont"/>
          <w:b/>
          <w:bCs/>
          <w:lang w:val="en-US"/>
        </w:rPr>
        <w:t>16 January 2026 (23:59 EAT)</w:t>
      </w:r>
      <w:r>
        <w:rPr>
          <w:rStyle w:val="DefaultParagraphFont"/>
          <w:lang w:val="en-US"/>
        </w:rPr>
        <w:t>. Since these will be assessed independently of each other, they should, in no case, be combined or cross-referenced.</w:t>
      </w:r>
    </w:p>
    <w:p>
      <w:pPr>
        <w:pStyle w:val="Normal1"/>
        <w:spacing w:lineRule="auto" w:line="240" w:before="120" w:after="120"/>
        <w:rPr>
          <w:lang w:val="en-US"/>
        </w:rPr>
      </w:pPr>
      <w:r>
        <w:rPr>
          <w:lang w:val="en-US"/>
        </w:rPr>
        <w:t>The instructions for submitting the tender and details on scoring methodology and evaluation criteria are detailed in ITT Volume 1. The application forms f or submitting the technical proposal (sent as a clearly titled PDF file) are detailed in ITT Volume 3 and ITT Volume 4 provides the Pro Formas f or the commercial proposal.</w:t>
      </w:r>
    </w:p>
    <w:p>
      <w:pPr>
        <w:pStyle w:val="Normal1"/>
        <w:spacing w:lineRule="auto" w:line="240" w:before="120" w:after="120"/>
        <w:rPr>
          <w:lang w:val="en-US"/>
        </w:rPr>
      </w:pPr>
      <w:r>
        <w:rPr>
          <w:lang w:val="en-US"/>
        </w:rPr>
      </w:r>
    </w:p>
    <w:tbl>
      <w:tblPr>
        <w:tblW w:w="5000" w:type="pct"/>
        <w:jc w:val="start"/>
        <w:tblInd w:w="-5" w:type="dxa"/>
        <w:tblLayout w:type="fixed"/>
        <w:tblCellMar>
          <w:top w:w="0" w:type="dxa"/>
          <w:start w:w="108" w:type="dxa"/>
          <w:bottom w:w="0" w:type="dxa"/>
          <w:end w:w="108" w:type="dxa"/>
        </w:tblCellMar>
      </w:tblPr>
      <w:tblGrid>
        <w:gridCol w:w="9026"/>
      </w:tblGrid>
      <w:tr>
        <w:trPr/>
        <w:tc>
          <w:tcPr>
            <w:tcW w:w="9026" w:type="dxa"/>
            <w:tcBorders>
              <w:top w:val="single" w:sz="4" w:space="0" w:color="000000"/>
              <w:start w:val="single" w:sz="4" w:space="0" w:color="000000"/>
              <w:bottom w:val="single" w:sz="4" w:space="0" w:color="000000"/>
              <w:end w:val="single" w:sz="4" w:space="0" w:color="000000"/>
            </w:tcBorders>
          </w:tcPr>
          <w:p>
            <w:pPr>
              <w:pStyle w:val="Normal1"/>
              <w:spacing w:lineRule="auto" w:line="240" w:before="120" w:after="120"/>
              <w:rPr>
                <w:b/>
                <w:bCs/>
              </w:rPr>
            </w:pPr>
            <w:r>
              <w:rPr>
                <w:b/>
                <w:bCs/>
              </w:rPr>
              <w:t>12. DUTY OF CARE ARRANGEMENTS</w:t>
            </w:r>
          </w:p>
        </w:tc>
      </w:tr>
    </w:tbl>
    <w:p>
      <w:pPr>
        <w:pStyle w:val="Normal1"/>
        <w:spacing w:lineRule="auto" w:line="240" w:before="120" w:after="120"/>
        <w:rPr/>
      </w:pPr>
      <w:r>
        <w:rPr/>
        <w:t>The Supplier should set out duty of care arrangements for any country visits or field-based activities.</w:t>
      </w:r>
    </w:p>
    <w:p>
      <w:pPr>
        <w:pStyle w:val="Normal1"/>
        <w:spacing w:lineRule="auto" w:line="240" w:before="120" w:after="120"/>
        <w:rPr/>
      </w:pPr>
      <w:r>
        <w:rPr/>
      </w:r>
    </w:p>
    <w:tbl>
      <w:tblPr>
        <w:tblW w:w="5000" w:type="pct"/>
        <w:jc w:val="start"/>
        <w:tblInd w:w="-5" w:type="dxa"/>
        <w:tblLayout w:type="fixed"/>
        <w:tblCellMar>
          <w:top w:w="0" w:type="dxa"/>
          <w:start w:w="108" w:type="dxa"/>
          <w:bottom w:w="0" w:type="dxa"/>
          <w:end w:w="108" w:type="dxa"/>
        </w:tblCellMar>
      </w:tblPr>
      <w:tblGrid>
        <w:gridCol w:w="9026"/>
      </w:tblGrid>
      <w:tr>
        <w:trPr/>
        <w:tc>
          <w:tcPr>
            <w:tcW w:w="9026" w:type="dxa"/>
            <w:tcBorders>
              <w:top w:val="single" w:sz="4" w:space="0" w:color="000000"/>
              <w:start w:val="single" w:sz="4" w:space="0" w:color="000000"/>
              <w:bottom w:val="single" w:sz="4" w:space="0" w:color="000000"/>
              <w:end w:val="single" w:sz="4" w:space="0" w:color="000000"/>
            </w:tcBorders>
          </w:tcPr>
          <w:p>
            <w:pPr>
              <w:pStyle w:val="Normal1"/>
              <w:spacing w:lineRule="auto" w:line="240" w:before="120" w:after="120"/>
              <w:rPr>
                <w:b/>
                <w:bCs/>
              </w:rPr>
            </w:pPr>
            <w:r>
              <w:rPr>
                <w:b/>
                <w:bCs/>
              </w:rPr>
              <w:t>13. ETHICAL CONSIDERATIONS, DATA PROTECTION, AND SAFEGUARDING</w:t>
            </w:r>
          </w:p>
        </w:tc>
      </w:tr>
    </w:tbl>
    <w:p>
      <w:pPr>
        <w:pStyle w:val="Normal1"/>
        <w:spacing w:lineRule="auto" w:line="240" w:before="120" w:after="120"/>
        <w:rPr/>
      </w:pPr>
      <w:r>
        <w:rPr/>
        <w:t>The Supplier Code of Conduct will be included in the terms and conditions of the Contract. New compliance checking mechanisms are now in place to review supplier documentation, their approaches to legal compliance and demonstration of good practice in meeting international principles on labour and ethical employment and to provide assurance that whistleblowing systems are accessible across delivery chains. The FCDO will monitor risk and mitigation plans throughout the project cycle. The commitments made by all organisations in receipt of FCDO funding need to provide spending teams with concrete assurance that the new enhanced safeguarding standards are being applied.  The approach will help to promote the adoption of new standards for all organisations in the aid sector.</w:t>
      </w:r>
    </w:p>
    <w:p>
      <w:pPr>
        <w:pStyle w:val="Normal1"/>
        <w:spacing w:lineRule="auto" w:line="240" w:before="120" w:after="120"/>
        <w:rPr/>
      </w:pPr>
      <w:r>
        <w:rPr/>
        <w:t>It is expected that the Supplier will put forward any considerations for ethical approvals required in adherence to the principles outlined in </w:t>
      </w:r>
      <w:hyperlink r:id="rId3" w:tgtFrame="_top">
        <w:r>
          <w:rPr>
            <w:rStyle w:val="Hyperlink"/>
            <w:color w:val="0000FF"/>
            <w:u w:val="single"/>
          </w:rPr>
          <w:t>DFID Ethical Guidance for Research, Evaluation and Monitoring Activities</w:t>
        </w:r>
      </w:hyperlink>
      <w:r>
        <w:rPr>
          <w:rStyle w:val="DefaultParagraphFont"/>
          <w:color w:val="0000FF"/>
        </w:rPr>
        <w:t xml:space="preserve"> </w:t>
      </w:r>
      <w:r>
        <w:rPr/>
        <w:t>and includes safeguarding guidelines.</w:t>
      </w:r>
    </w:p>
    <w:p>
      <w:pPr>
        <w:pStyle w:val="Normal1"/>
        <w:spacing w:lineRule="auto" w:line="240" w:before="120" w:after="120"/>
        <w:rPr/>
      </w:pPr>
      <w:r>
        <w:rPr/>
      </w:r>
    </w:p>
    <w:tbl>
      <w:tblPr>
        <w:tblW w:w="5000" w:type="pct"/>
        <w:jc w:val="start"/>
        <w:tblInd w:w="-5" w:type="dxa"/>
        <w:tblLayout w:type="fixed"/>
        <w:tblCellMar>
          <w:top w:w="0" w:type="dxa"/>
          <w:start w:w="108" w:type="dxa"/>
          <w:bottom w:w="0" w:type="dxa"/>
          <w:end w:w="108" w:type="dxa"/>
        </w:tblCellMar>
      </w:tblPr>
      <w:tblGrid>
        <w:gridCol w:w="9026"/>
      </w:tblGrid>
      <w:tr>
        <w:trPr/>
        <w:tc>
          <w:tcPr>
            <w:tcW w:w="9026" w:type="dxa"/>
            <w:tcBorders>
              <w:top w:val="single" w:sz="4" w:space="0" w:color="000000"/>
              <w:start w:val="single" w:sz="4" w:space="0" w:color="000000"/>
              <w:bottom w:val="single" w:sz="4" w:space="0" w:color="000000"/>
              <w:end w:val="single" w:sz="4" w:space="0" w:color="000000"/>
            </w:tcBorders>
          </w:tcPr>
          <w:p>
            <w:pPr>
              <w:pStyle w:val="Normal1"/>
              <w:spacing w:lineRule="auto" w:line="240" w:before="120" w:after="120"/>
              <w:rPr>
                <w:b/>
                <w:bCs/>
              </w:rPr>
            </w:pPr>
            <w:r>
              <w:rPr>
                <w:b/>
                <w:bCs/>
              </w:rPr>
              <w:t>14. GENERAL DATA PROTECTION REGULATIONS (GDPR)</w:t>
            </w:r>
          </w:p>
        </w:tc>
      </w:tr>
    </w:tbl>
    <w:p>
      <w:pPr>
        <w:pStyle w:val="Normal1"/>
        <w:spacing w:lineRule="auto" w:line="240" w:before="120" w:after="120"/>
        <w:rPr/>
      </w:pPr>
      <w:r>
        <w:rPr/>
        <w:t>Please refer to the details of the GDPR relationship status and personal data (where applicable) for this project as detailed in Section 15: Interpretation, the clause on Data Protection Laws in Volume 6: Pro Forma Contract of the ITT Application Pack.4</w:t>
      </w:r>
    </w:p>
    <w:p>
      <w:pPr>
        <w:pStyle w:val="Normal1"/>
        <w:spacing w:lineRule="auto" w:line="240" w:before="120" w:after="120"/>
        <w:rPr/>
      </w:pPr>
      <w:r>
        <w:rPr/>
      </w:r>
    </w:p>
    <w:tbl>
      <w:tblPr>
        <w:tblW w:w="5000" w:type="pct"/>
        <w:jc w:val="start"/>
        <w:tblInd w:w="-5" w:type="dxa"/>
        <w:tblLayout w:type="fixed"/>
        <w:tblCellMar>
          <w:top w:w="0" w:type="dxa"/>
          <w:start w:w="108" w:type="dxa"/>
          <w:bottom w:w="0" w:type="dxa"/>
          <w:end w:w="108" w:type="dxa"/>
        </w:tblCellMar>
      </w:tblPr>
      <w:tblGrid>
        <w:gridCol w:w="9026"/>
      </w:tblGrid>
      <w:tr>
        <w:trPr/>
        <w:tc>
          <w:tcPr>
            <w:tcW w:w="9026" w:type="dxa"/>
            <w:tcBorders>
              <w:top w:val="single" w:sz="4" w:space="0" w:color="000000"/>
              <w:start w:val="single" w:sz="4" w:space="0" w:color="000000"/>
              <w:bottom w:val="single" w:sz="4" w:space="0" w:color="000000"/>
              <w:end w:val="single" w:sz="4" w:space="0" w:color="000000"/>
            </w:tcBorders>
          </w:tcPr>
          <w:p>
            <w:pPr>
              <w:pStyle w:val="Normal1"/>
              <w:spacing w:lineRule="auto" w:line="240" w:before="120" w:after="120"/>
              <w:rPr>
                <w:b/>
                <w:bCs/>
              </w:rPr>
            </w:pPr>
            <w:r>
              <w:rPr>
                <w:b/>
                <w:bCs/>
              </w:rPr>
              <w:t>15. RISK MANAGEMENT</w:t>
            </w:r>
          </w:p>
        </w:tc>
      </w:tr>
    </w:tbl>
    <w:p>
      <w:pPr>
        <w:pStyle w:val="Normal1"/>
        <w:spacing w:lineRule="auto" w:line="240" w:before="120" w:after="120"/>
        <w:rPr/>
        <w:sectPr>
          <w:footnotePr>
            <w:numFmt w:val="decimal"/>
          </w:footnotePr>
          <w:type w:val="nextPage"/>
          <w:pgSz w:w="11906" w:h="16838"/>
          <w:pgMar w:left="1440" w:right="1440" w:gutter="0" w:header="0" w:top="1440" w:footer="0" w:bottom="1440"/>
          <w:pgNumType w:fmt="decimal"/>
          <w:formProt w:val="false"/>
          <w:textDirection w:val="lrTb"/>
          <w:docGrid w:type="default" w:linePitch="600" w:charSpace="32768"/>
        </w:sectPr>
      </w:pPr>
      <w:r>
        <w:rPr/>
        <w:t>The Supplier will be expected to set out their understanding of the most important anticipated risks in the proposal, with an explanation of their mitigating strategies in a risk matrix.</w:t>
      </w:r>
    </w:p>
    <w:tbl>
      <w:tblPr>
        <w:tblW w:w="5000" w:type="pct"/>
        <w:jc w:val="start"/>
        <w:tblInd w:w="-5" w:type="dxa"/>
        <w:tblLayout w:type="fixed"/>
        <w:tblCellMar>
          <w:top w:w="0" w:type="dxa"/>
          <w:start w:w="108" w:type="dxa"/>
          <w:bottom w:w="0" w:type="dxa"/>
          <w:end w:w="108" w:type="dxa"/>
        </w:tblCellMar>
      </w:tblPr>
      <w:tblGrid>
        <w:gridCol w:w="9026"/>
      </w:tblGrid>
      <w:tr>
        <w:trPr/>
        <w:tc>
          <w:tcPr>
            <w:tcW w:w="9026" w:type="dxa"/>
            <w:tcBorders>
              <w:top w:val="single" w:sz="4" w:space="0" w:color="000000"/>
              <w:start w:val="single" w:sz="4" w:space="0" w:color="000000"/>
              <w:bottom w:val="single" w:sz="4" w:space="0" w:color="000000"/>
              <w:end w:val="single" w:sz="4" w:space="0" w:color="000000"/>
            </w:tcBorders>
          </w:tcPr>
          <w:p>
            <w:pPr>
              <w:pStyle w:val="Normal1"/>
              <w:spacing w:lineRule="auto" w:line="240" w:before="120" w:after="120"/>
              <w:rPr>
                <w:b/>
                <w:bCs/>
              </w:rPr>
            </w:pPr>
            <w:r>
              <w:rPr>
                <w:b/>
                <w:bCs/>
              </w:rPr>
              <w:t>16. FCDO RESEARCH GUIDANCE DOCUMENTS</w:t>
            </w:r>
          </w:p>
        </w:tc>
      </w:tr>
    </w:tbl>
    <w:p>
      <w:pPr>
        <w:pStyle w:val="Normal1"/>
        <w:spacing w:lineRule="auto" w:line="240" w:before="120" w:after="120"/>
        <w:rPr/>
      </w:pPr>
      <w:r>
        <w:rPr/>
        <w:t>Annex 1: Guidance on Communication and Research Uptake Strategy</w:t>
      </w:r>
    </w:p>
    <w:tbl>
      <w:tblPr>
        <w:tblW w:w="9576" w:type="dxa"/>
        <w:jc w:val="start"/>
        <w:tblInd w:w="-5" w:type="dxa"/>
        <w:tblLayout w:type="fixed"/>
        <w:tblCellMar>
          <w:top w:w="0" w:type="dxa"/>
          <w:start w:w="108" w:type="dxa"/>
          <w:bottom w:w="0" w:type="dxa"/>
          <w:end w:w="108" w:type="dxa"/>
        </w:tblCellMar>
      </w:tblPr>
      <w:tblGrid>
        <w:gridCol w:w="2263"/>
        <w:gridCol w:w="7313"/>
      </w:tblGrid>
      <w:tr>
        <w:trPr>
          <w:trHeight w:val="425" w:hRule="atLeast"/>
        </w:trPr>
        <w:tc>
          <w:tcPr>
            <w:tcW w:w="9576" w:type="dxa"/>
            <w:gridSpan w:val="2"/>
            <w:tcBorders>
              <w:top w:val="single" w:sz="4" w:space="0" w:color="000000"/>
              <w:start w:val="single" w:sz="4" w:space="0" w:color="000000"/>
              <w:bottom w:val="single" w:sz="4" w:space="0" w:color="000000"/>
              <w:end w:val="single" w:sz="4" w:space="0" w:color="000000"/>
            </w:tcBorders>
            <w:shd w:fill="404040" w:val="clear"/>
            <w:vAlign w:val="center"/>
          </w:tcPr>
          <w:p>
            <w:pPr>
              <w:pStyle w:val="Normal1"/>
              <w:spacing w:lineRule="auto" w:line="240" w:before="120" w:after="120"/>
              <w:rPr>
                <w:color w:val="FFFFFF"/>
              </w:rPr>
            </w:pPr>
            <w:r>
              <w:rPr>
                <w:color w:val="FFFFFF"/>
              </w:rPr>
              <w:t>Stakeholder Mapping and Research Uptake Strategy</w:t>
            </w:r>
          </w:p>
        </w:tc>
      </w:tr>
      <w:tr>
        <w:trPr>
          <w:trHeight w:val="425" w:hRule="atLeast"/>
        </w:trPr>
        <w:tc>
          <w:tcPr>
            <w:tcW w:w="2263" w:type="dxa"/>
            <w:tcBorders>
              <w:top w:val="single" w:sz="4" w:space="0" w:color="000000"/>
              <w:start w:val="single" w:sz="4" w:space="0" w:color="000000"/>
              <w:bottom w:val="single" w:sz="4" w:space="0" w:color="000000"/>
              <w:end w:val="single" w:sz="4" w:space="0" w:color="000000"/>
            </w:tcBorders>
            <w:shd w:fill="404040" w:val="clear"/>
            <w:vAlign w:val="center"/>
          </w:tcPr>
          <w:p>
            <w:pPr>
              <w:pStyle w:val="Normal1"/>
              <w:spacing w:lineRule="auto" w:line="240" w:before="120" w:after="120"/>
              <w:rPr>
                <w:color w:val="FFFFFF"/>
              </w:rPr>
            </w:pPr>
            <w:r>
              <w:rPr>
                <w:color w:val="FFFFFF"/>
              </w:rPr>
            </w:r>
          </w:p>
        </w:tc>
        <w:tc>
          <w:tcPr>
            <w:tcW w:w="7313" w:type="dxa"/>
            <w:tcBorders>
              <w:top w:val="single" w:sz="4" w:space="0" w:color="000000"/>
              <w:start w:val="single" w:sz="4" w:space="0" w:color="000000"/>
              <w:bottom w:val="single" w:sz="4" w:space="0" w:color="000000"/>
              <w:end w:val="single" w:sz="4" w:space="0" w:color="000000"/>
            </w:tcBorders>
            <w:shd w:fill="404040" w:val="clear"/>
            <w:vAlign w:val="center"/>
          </w:tcPr>
          <w:p>
            <w:pPr>
              <w:pStyle w:val="Normal1"/>
              <w:spacing w:lineRule="auto" w:line="240" w:before="120" w:after="120"/>
              <w:rPr>
                <w:i/>
                <w:color w:val="FFFFFF"/>
              </w:rPr>
            </w:pPr>
            <w:r>
              <w:rPr>
                <w:i/>
                <w:color w:val="FFFFFF"/>
              </w:rPr>
              <w:t>Key communications and research uptake considerations</w:t>
            </w:r>
          </w:p>
        </w:tc>
      </w:tr>
      <w:tr>
        <w:trPr>
          <w:trHeight w:val="1345" w:hRule="atLeast"/>
        </w:trPr>
        <w:tc>
          <w:tcPr>
            <w:tcW w:w="2263" w:type="dxa"/>
            <w:tcBorders>
              <w:top w:val="single" w:sz="4" w:space="0" w:color="000000"/>
              <w:start w:val="single" w:sz="4" w:space="0" w:color="000000"/>
              <w:bottom w:val="single" w:sz="4" w:space="0" w:color="000000"/>
              <w:end w:val="single" w:sz="4" w:space="0" w:color="000000"/>
            </w:tcBorders>
            <w:shd w:fill="404040" w:val="clear"/>
            <w:vAlign w:val="center"/>
          </w:tcPr>
          <w:p>
            <w:pPr>
              <w:pStyle w:val="Normal1"/>
              <w:spacing w:lineRule="auto" w:line="240" w:before="120" w:after="120"/>
              <w:rPr>
                <w:color w:val="FFFFFF"/>
              </w:rPr>
            </w:pPr>
            <w:r>
              <w:rPr>
                <w:color w:val="FFFFFF"/>
              </w:rPr>
              <w:t>Audience mapping</w:t>
            </w:r>
          </w:p>
        </w:tc>
        <w:tc>
          <w:tcPr>
            <w:tcW w:w="7313"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1"/>
              <w:spacing w:lineRule="auto" w:line="240" w:before="120" w:after="120"/>
              <w:rPr/>
            </w:pPr>
            <w:r>
              <w:rPr/>
              <w:t>Which organisations are the main intended audiences for the research? Who are the key decision-makers in the policy area and are they involved and aware of the research (and how are they involved in the research design and intent)? Are there other actors who may use findings or are involved in this policy area?</w:t>
            </w:r>
          </w:p>
          <w:p>
            <w:pPr>
              <w:pStyle w:val="Normal1"/>
              <w:spacing w:lineRule="auto" w:line="240" w:before="120" w:after="120"/>
              <w:rPr/>
            </w:pPr>
            <w:r>
              <w:rPr/>
              <w:t>Within FCDO – which teams and departments are involved?</w:t>
            </w:r>
          </w:p>
        </w:tc>
      </w:tr>
      <w:tr>
        <w:trPr>
          <w:trHeight w:val="894" w:hRule="atLeast"/>
        </w:trPr>
        <w:tc>
          <w:tcPr>
            <w:tcW w:w="2263" w:type="dxa"/>
            <w:tcBorders>
              <w:top w:val="single" w:sz="4" w:space="0" w:color="000000"/>
              <w:start w:val="single" w:sz="4" w:space="0" w:color="000000"/>
              <w:bottom w:val="single" w:sz="4" w:space="0" w:color="000000"/>
              <w:end w:val="single" w:sz="4" w:space="0" w:color="000000"/>
            </w:tcBorders>
            <w:shd w:fill="404040" w:val="clear"/>
            <w:vAlign w:val="center"/>
          </w:tcPr>
          <w:p>
            <w:pPr>
              <w:pStyle w:val="Normal1"/>
              <w:spacing w:lineRule="auto" w:line="240" w:before="120" w:after="120"/>
              <w:rPr>
                <w:color w:val="FFFFFF"/>
              </w:rPr>
            </w:pPr>
            <w:r>
              <w:rPr>
                <w:color w:val="FFFFFF"/>
              </w:rPr>
              <w:t>Knowledge requirements of stakeholders</w:t>
            </w:r>
          </w:p>
        </w:tc>
        <w:tc>
          <w:tcPr>
            <w:tcW w:w="7313"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1"/>
              <w:spacing w:lineRule="auto" w:line="240" w:before="120" w:after="120"/>
              <w:rPr/>
            </w:pPr>
            <w:r>
              <w:rPr/>
              <w:t>What are the evidence gaps that actors are interested in? Are there key statistics or data that can define the research? What new evidence does the research offer to both strategic planning and informing programming?</w:t>
            </w:r>
          </w:p>
        </w:tc>
      </w:tr>
      <w:tr>
        <w:trPr>
          <w:trHeight w:val="1141" w:hRule="atLeast"/>
        </w:trPr>
        <w:tc>
          <w:tcPr>
            <w:tcW w:w="2263" w:type="dxa"/>
            <w:tcBorders>
              <w:top w:val="single" w:sz="4" w:space="0" w:color="000000"/>
              <w:start w:val="single" w:sz="4" w:space="0" w:color="000000"/>
              <w:bottom w:val="single" w:sz="4" w:space="0" w:color="000000"/>
              <w:end w:val="single" w:sz="4" w:space="0" w:color="000000"/>
            </w:tcBorders>
            <w:shd w:fill="404040" w:val="clear"/>
            <w:vAlign w:val="center"/>
          </w:tcPr>
          <w:p>
            <w:pPr>
              <w:pStyle w:val="Normal1"/>
              <w:spacing w:lineRule="auto" w:line="240" w:before="120" w:after="120"/>
              <w:rPr>
                <w:color w:val="FFFFFF"/>
              </w:rPr>
            </w:pPr>
            <w:r>
              <w:rPr>
                <w:color w:val="FFFFFF"/>
              </w:rPr>
              <w:t>Decisions to be influenced</w:t>
            </w:r>
          </w:p>
        </w:tc>
        <w:tc>
          <w:tcPr>
            <w:tcW w:w="7313"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1"/>
              <w:spacing w:lineRule="auto" w:line="240" w:before="120" w:after="120"/>
              <w:rPr/>
            </w:pPr>
            <w:r>
              <w:rPr/>
              <w:t>What are the key programming decisions that the research will influence – both for FCDO policy teams and country offices? Will the research support decision-making among other actors? E.g., multilateral, and bilateral donors, non-government organisations, regional governments? What decisions are those?</w:t>
            </w:r>
          </w:p>
        </w:tc>
      </w:tr>
      <w:tr>
        <w:trPr>
          <w:trHeight w:val="1115" w:hRule="atLeast"/>
        </w:trPr>
        <w:tc>
          <w:tcPr>
            <w:tcW w:w="2263" w:type="dxa"/>
            <w:tcBorders>
              <w:top w:val="single" w:sz="4" w:space="0" w:color="000000"/>
              <w:start w:val="single" w:sz="4" w:space="0" w:color="000000"/>
              <w:bottom w:val="single" w:sz="4" w:space="0" w:color="000000"/>
              <w:end w:val="single" w:sz="4" w:space="0" w:color="000000"/>
            </w:tcBorders>
            <w:shd w:fill="404040" w:val="clear"/>
            <w:vAlign w:val="center"/>
          </w:tcPr>
          <w:p>
            <w:pPr>
              <w:pStyle w:val="Normal1"/>
              <w:spacing w:lineRule="auto" w:line="240" w:before="120" w:after="120"/>
              <w:rPr>
                <w:color w:val="FFFFFF"/>
              </w:rPr>
            </w:pPr>
            <w:r>
              <w:rPr>
                <w:color w:val="FFFFFF"/>
              </w:rPr>
              <w:t>What are the outputs?</w:t>
            </w:r>
          </w:p>
        </w:tc>
        <w:tc>
          <w:tcPr>
            <w:tcW w:w="7313"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1"/>
              <w:spacing w:lineRule="auto" w:line="240" w:before="120" w:after="120"/>
              <w:rPr/>
            </w:pPr>
            <w:r>
              <w:rPr/>
              <w:t>Largely defined by the ToR, but what outputs will be produced? I.e., will there be supporting infographics, summary briefs, or single case studies in order to land the research more effectively/efficiently with particular audiences? How do these map to particular stakeholders?</w:t>
            </w:r>
          </w:p>
        </w:tc>
      </w:tr>
      <w:tr>
        <w:trPr>
          <w:trHeight w:val="1131" w:hRule="atLeast"/>
        </w:trPr>
        <w:tc>
          <w:tcPr>
            <w:tcW w:w="2263" w:type="dxa"/>
            <w:tcBorders>
              <w:top w:val="single" w:sz="4" w:space="0" w:color="000000"/>
              <w:start w:val="single" w:sz="4" w:space="0" w:color="000000"/>
              <w:bottom w:val="single" w:sz="4" w:space="0" w:color="000000"/>
              <w:end w:val="single" w:sz="4" w:space="0" w:color="000000"/>
            </w:tcBorders>
            <w:shd w:fill="404040" w:val="clear"/>
            <w:vAlign w:val="center"/>
          </w:tcPr>
          <w:p>
            <w:pPr>
              <w:pStyle w:val="Normal1"/>
              <w:spacing w:lineRule="auto" w:line="240" w:before="120" w:after="120"/>
              <w:rPr>
                <w:color w:val="FFFFFF"/>
              </w:rPr>
            </w:pPr>
            <w:r>
              <w:rPr>
                <w:color w:val="FFFFFF"/>
              </w:rPr>
              <w:t>How will outputs be communicated?</w:t>
            </w:r>
          </w:p>
        </w:tc>
        <w:tc>
          <w:tcPr>
            <w:tcW w:w="7313"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1"/>
              <w:spacing w:lineRule="auto" w:line="240" w:before="120" w:after="120"/>
              <w:rPr/>
            </w:pPr>
            <w:r>
              <w:rPr/>
              <w:t>How will various audiences be kept abreast or informed about the research? Will different audiences require different communications? What will be the balance of different dissemination techniques: i.e., seminars, emails, social media, meetings, slide decks, use of the internet or published documentation?</w:t>
            </w:r>
          </w:p>
        </w:tc>
      </w:tr>
      <w:tr>
        <w:trPr>
          <w:trHeight w:val="1098" w:hRule="atLeast"/>
        </w:trPr>
        <w:tc>
          <w:tcPr>
            <w:tcW w:w="2263" w:type="dxa"/>
            <w:tcBorders>
              <w:top w:val="single" w:sz="4" w:space="0" w:color="000000"/>
              <w:start w:val="single" w:sz="4" w:space="0" w:color="000000"/>
              <w:bottom w:val="single" w:sz="4" w:space="0" w:color="000000"/>
              <w:end w:val="single" w:sz="4" w:space="0" w:color="000000"/>
            </w:tcBorders>
            <w:shd w:fill="404040" w:val="clear"/>
            <w:vAlign w:val="center"/>
          </w:tcPr>
          <w:p>
            <w:pPr>
              <w:pStyle w:val="Normal1"/>
              <w:spacing w:lineRule="auto" w:line="240" w:before="120" w:after="120"/>
              <w:rPr>
                <w:color w:val="FFFFFF"/>
              </w:rPr>
            </w:pPr>
            <w:r>
              <w:rPr>
                <w:color w:val="FFFFFF"/>
              </w:rPr>
              <w:t xml:space="preserve">Relevance of research products </w:t>
            </w:r>
          </w:p>
        </w:tc>
        <w:tc>
          <w:tcPr>
            <w:tcW w:w="7313"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1"/>
              <w:spacing w:lineRule="auto" w:line="240" w:before="120" w:after="120"/>
              <w:rPr/>
            </w:pPr>
            <w:r>
              <w:rPr/>
              <w:t xml:space="preserve">The communications plan (and research products) should be iterative and reflect research needs from all stakeholders. Considering responses to the points outlined above, how will the research be designed, produced, and disseminated to meet these needs? </w:t>
            </w:r>
          </w:p>
        </w:tc>
      </w:tr>
      <w:tr>
        <w:trPr>
          <w:trHeight w:val="1133" w:hRule="atLeast"/>
        </w:trPr>
        <w:tc>
          <w:tcPr>
            <w:tcW w:w="2263" w:type="dxa"/>
            <w:tcBorders>
              <w:top w:val="single" w:sz="4" w:space="0" w:color="000000"/>
              <w:start w:val="single" w:sz="4" w:space="0" w:color="000000"/>
              <w:bottom w:val="single" w:sz="4" w:space="0" w:color="000000"/>
              <w:end w:val="single" w:sz="4" w:space="0" w:color="000000"/>
            </w:tcBorders>
            <w:shd w:fill="404040" w:val="clear"/>
            <w:vAlign w:val="center"/>
          </w:tcPr>
          <w:p>
            <w:pPr>
              <w:pStyle w:val="Normal1"/>
              <w:spacing w:lineRule="auto" w:line="240" w:before="120" w:after="120"/>
              <w:rPr>
                <w:color w:val="FFFFFF"/>
              </w:rPr>
            </w:pPr>
            <w:r>
              <w:rPr>
                <w:color w:val="FFFFFF"/>
              </w:rPr>
              <w:t>How will research impact be measured?</w:t>
            </w:r>
          </w:p>
        </w:tc>
        <w:tc>
          <w:tcPr>
            <w:tcW w:w="7313"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1"/>
              <w:spacing w:lineRule="auto" w:line="240" w:before="120" w:after="120"/>
              <w:rPr/>
            </w:pPr>
            <w:r>
              <w:rPr/>
              <w:t>What methods and indicators can be used to measure or assess how useful the research is? I.e., to what extent has it been used and by which audiences, what are the outcomes of the research, and what impact has it had on policy making and programming?</w:t>
            </w:r>
          </w:p>
        </w:tc>
      </w:tr>
    </w:tbl>
    <w:p>
      <w:pPr>
        <w:pStyle w:val="Normal1"/>
        <w:spacing w:lineRule="auto" w:line="240" w:before="120" w:after="120"/>
        <w:rPr/>
      </w:pPr>
      <w:r>
        <w:rPr/>
      </w:r>
    </w:p>
    <w:sectPr>
      <w:headerReference w:type="default" r:id="rId4"/>
      <w:footerReference w:type="default" r:id="rId5"/>
      <w:footnotePr>
        <w:numFmt w:val="decimal"/>
      </w:footnotePr>
      <w:type w:val="nextPage"/>
      <w:pgSz w:w="11906" w:h="16838"/>
      <w:pgMar w:left="1440" w:right="1440" w:gutter="0" w:header="720" w:top="1440" w:footer="720" w:bottom="1440"/>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ptos">
    <w:charset w:val="01" w:characterSet="utf-8"/>
    <w:family w:val="swiss"/>
    <w:pitch w:val="variable"/>
  </w:font>
  <w:font w:name="Aptos Display">
    <w:charset w:val="01" w:characterSet="utf-8"/>
    <w:family w:val="swiss"/>
    <w:pitch w:val="variable"/>
  </w:font>
  <w:font w:name="Arial">
    <w:charset w:val="01" w:characterSet="utf-8"/>
    <w:family w:val="swiss"/>
    <w:pitch w:val="variable"/>
  </w:font>
  <w:font w:name="Courier New">
    <w:charset w:val="01" w:characterSet="utf-8"/>
    <w:family w:val="modern"/>
    <w:pitch w:val="fixed"/>
  </w:font>
  <w:font w:name="Wingdings">
    <w:charset w:val="02"/>
    <w:family w:val="auto"/>
    <w:pitch w:val="variable"/>
  </w:font>
  <w:font w:name="Liberation Sans">
    <w:altName w:val="Arial"/>
    <w:charset w:val="01" w:characterSet="utf-8"/>
    <w:family w:val="swiss"/>
    <w:pitch w:val="variable"/>
  </w:font>
  <w:font w:name="geist">
    <w:charset w:val="01" w:characterSet="utf-8"/>
    <w:family w:val="roman"/>
    <w:pitch w:val="default"/>
  </w:font>
  <w:font w:name="Calibri">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behindDoc="0" distT="0" distB="0" distL="0" distR="0" simplePos="0" locked="0" layoutInCell="0" allowOverlap="1" relativeHeight="2">
              <wp:simplePos x="0" y="0"/>
              <wp:positionH relativeFrom="page">
                <wp:align>center</wp:align>
              </wp:positionH>
              <wp:positionV relativeFrom="page">
                <wp:align>bottom</wp:align>
              </wp:positionV>
              <wp:extent cx="459740" cy="369570"/>
              <wp:effectExtent l="0" t="0" r="0" b="0"/>
              <wp:wrapNone/>
              <wp:docPr id="2" name="Text Box 6"/>
              <a:graphic xmlns:a="http://schemas.openxmlformats.org/drawingml/2006/main">
                <a:graphicData uri="http://schemas.microsoft.com/office/word/2010/wordprocessingShape">
                  <wps:wsp>
                    <wps:cNvSpPr txBox="1"/>
                    <wps:spPr>
                      <a:xfrm>
                        <a:off x="0" y="0"/>
                        <a:ext cx="459740" cy="369570"/>
                      </a:xfrm>
                      <a:prstGeom prst="rect"/>
                      <a:solidFill>
                        <a:srgbClr val="FFFFFF"/>
                      </a:solidFill>
                    </wps:spPr>
                    <wps:txbx>
                      <w:txbxContent>
                        <w:p>
                          <w:pPr>
                            <w:pStyle w:val="Normal1"/>
                            <w:rPr>
                              <w:rFonts w:ascii="Calibri" w:hAnsi="Calibri" w:eastAsia="Calibri" w:cs="Calibri"/>
                              <w:color w:val="000000"/>
                              <w:sz w:val="20"/>
                              <w:szCs w:val="20"/>
                            </w:rPr>
                          </w:pPr>
                          <w:r>
                            <w:rPr>
                              <w:rFonts w:eastAsia="Calibri" w:cs="Calibri" w:ascii="Calibri" w:hAnsi="Calibri"/>
                              <w:color w:val="000000"/>
                              <w:sz w:val="20"/>
                              <w:szCs w:val="20"/>
                            </w:rPr>
                            <w:t>OFFICIAL</w:t>
                          </w:r>
                        </w:p>
                      </w:txbxContent>
                    </wps:txbx>
                    <wps:bodyPr anchor="b" lIns="0" tIns="0" rIns="0" bIns="190500">
                      <a:noAutofit/>
                    </wps:bodyPr>
                  </wps:wsp>
                </a:graphicData>
              </a:graphic>
            </wp:anchor>
          </w:drawing>
        </mc:Choice>
        <mc:Fallback>
          <w:pict>
            <v:rect style="position:absolute;rotation:-0;width:36.2pt;height:29.1pt;mso-wrap-distance-left:0pt;mso-wrap-distance-right:0pt;mso-wrap-distance-top:0pt;mso-wrap-distance-bottom:0pt;margin-top:812.8pt;mso-position-vertical:bottom;mso-position-vertical-relative:page;margin-left:279.55pt;mso-position-horizontal:center;mso-position-horizontal-relative:page">
              <v:textbox inset="0in,0in,0in,0.208333333333333in">
                <w:txbxContent>
                  <w:p>
                    <w:pPr>
                      <w:pStyle w:val="Normal1"/>
                      <w:rPr>
                        <w:rFonts w:ascii="Calibri" w:hAnsi="Calibri" w:eastAsia="Calibri" w:cs="Calibri"/>
                        <w:color w:val="000000"/>
                        <w:sz w:val="20"/>
                        <w:szCs w:val="20"/>
                      </w:rPr>
                    </w:pPr>
                    <w:r>
                      <w:rPr>
                        <w:rFonts w:eastAsia="Calibri" w:cs="Calibri" w:ascii="Calibri" w:hAnsi="Calibri"/>
                        <w:color w:val="000000"/>
                        <w:sz w:val="20"/>
                        <w:szCs w:val="20"/>
                      </w:rPr>
                      <w:t>OFFICIAL</w:t>
                    </w:r>
                  </w:p>
                </w:txbxContent>
              </v:textbox>
              <w10:wrap type="none"/>
            </v:rect>
          </w:pict>
        </mc:Fallback>
      </mc:AlternateContent>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FootnoteText1"/>
        <w:rPr/>
      </w:pPr>
      <w:r>
        <w:rPr>
          <w:rStyle w:val="Znakiprzypiswdolnych"/>
        </w:rPr>
        <w:footnoteRef/>
      </w:r>
      <w:r>
        <w:rPr/>
        <w:t xml:space="preserve"> </w:t>
      </w:r>
      <w:r>
        <w:rPr/>
        <w:t>Science, Technology and Innovation Act, No. 28 of 2013</w:t>
      </w:r>
    </w:p>
    <w:p>
      <w:pPr>
        <w:pStyle w:val="FootnoteText1"/>
        <w:rPr/>
      </w:pPr>
      <w:r>
        <w:rPr/>
        <w:t xml:space="preserve">Government of Kenya. (2013). Science, Technology and Innovation Act No. 28 of 2013. National Council for Law Reporting. Retrieved from </w:t>
      </w:r>
      <w:hyperlink r:id="rId1" w:tgtFrame="_top">
        <w:r>
          <w:rPr>
            <w:rStyle w:val="Hyperlink"/>
          </w:rPr>
          <w:t>https://nacosti.go.ke/nacosti/Docs/Information%20Centre/Science-Technology-and-Innovation-Act-No.-28-of-20131.pdf</w:t>
        </w:r>
      </w:hyperlink>
      <w:r>
        <w:rPr/>
        <w:t xml:space="preserve"> </w:t>
      </w:r>
    </w:p>
    <w:p>
      <w:pPr>
        <w:pStyle w:val="Normal1"/>
        <w:rPr/>
      </w:pPr>
      <w:r>
        <w:rPr/>
      </w:r>
    </w:p>
    <w:p>
      <w:pPr>
        <w:pStyle w:val="Normal1"/>
        <w:rPr/>
      </w:pPr>
      <w:r>
        <w:rPr/>
      </w:r>
    </w:p>
  </w:footnote>
  <w:footnote w:id="3">
    <w:p>
      <w:pPr>
        <w:pStyle w:val="FootnoteText1"/>
        <w:rPr/>
      </w:pPr>
      <w:r>
        <w:rPr>
          <w:rStyle w:val="Znakiprzypiswdolnych"/>
        </w:rPr>
        <w:footnoteRef/>
      </w:r>
      <w:r>
        <w:rPr/>
        <w:t xml:space="preserve"> </w:t>
      </w:r>
      <w:r>
        <w:rPr/>
        <w:t>Kenya 10-Year Innovation Masterplan</w:t>
      </w:r>
    </w:p>
    <w:p>
      <w:pPr>
        <w:pStyle w:val="FootnoteText1"/>
        <w:rPr/>
      </w:pPr>
      <w:r>
        <w:rPr/>
        <w:t xml:space="preserve">Kenya National Innovation Agency (KeNIA). (2023). Kenya 10-Year Innovation Masterplan. Retrieved from </w:t>
      </w:r>
      <w:hyperlink r:id="rId2" w:tgtFrame="_top">
        <w:r>
          <w:rPr>
            <w:rStyle w:val="Hyperlink"/>
          </w:rPr>
          <w:t>https://www.innovationagency.go.ke/storage/pub-docs/ken_pub_INNOVATION%20MASTERPLAN%20FINAL5.pdf</w:t>
        </w:r>
      </w:hyperlink>
      <w:r>
        <w:rPr/>
        <w:t xml:space="preserve"> </w:t>
      </w:r>
    </w:p>
    <w:p>
      <w:pPr>
        <w:pStyle w:val="Normal1"/>
        <w:rPr/>
      </w:pPr>
      <w:r>
        <w:rPr/>
      </w:r>
    </w:p>
    <w:p>
      <w:pPr>
        <w:pStyle w:val="Normal1"/>
        <w:rPr/>
      </w:pPr>
      <w:r>
        <w:rPr/>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r>
      <mc:AlternateContent>
        <mc:Choice Requires="wps">
          <w:drawing>
            <wp:anchor behindDoc="0" distT="0" distB="0" distL="0" distR="0" simplePos="0" locked="0" layoutInCell="0" allowOverlap="1" relativeHeight="3">
              <wp:simplePos x="0" y="0"/>
              <wp:positionH relativeFrom="page">
                <wp:align>center</wp:align>
              </wp:positionH>
              <wp:positionV relativeFrom="page">
                <wp:align>top</wp:align>
              </wp:positionV>
              <wp:extent cx="459740" cy="369570"/>
              <wp:effectExtent l="0" t="0" r="0" b="0"/>
              <wp:wrapNone/>
              <wp:docPr id="1" name="Text Box 3"/>
              <a:graphic xmlns:a="http://schemas.openxmlformats.org/drawingml/2006/main">
                <a:graphicData uri="http://schemas.microsoft.com/office/word/2010/wordprocessingShape">
                  <wps:wsp>
                    <wps:cNvSpPr txBox="1"/>
                    <wps:spPr>
                      <a:xfrm>
                        <a:off x="0" y="0"/>
                        <a:ext cx="459740" cy="369570"/>
                      </a:xfrm>
                      <a:prstGeom prst="rect"/>
                      <a:solidFill>
                        <a:srgbClr val="FFFFFF"/>
                      </a:solidFill>
                    </wps:spPr>
                    <wps:txbx>
                      <w:txbxContent>
                        <w:p>
                          <w:pPr>
                            <w:pStyle w:val="Normal1"/>
                            <w:rPr>
                              <w:rFonts w:ascii="Calibri" w:hAnsi="Calibri" w:eastAsia="Calibri" w:cs="Calibri"/>
                              <w:color w:val="000000"/>
                              <w:sz w:val="20"/>
                              <w:szCs w:val="20"/>
                            </w:rPr>
                          </w:pPr>
                          <w:r>
                            <w:rPr>
                              <w:rFonts w:eastAsia="Calibri" w:cs="Calibri" w:ascii="Calibri" w:hAnsi="Calibri"/>
                              <w:color w:val="000000"/>
                              <w:sz w:val="20"/>
                              <w:szCs w:val="20"/>
                            </w:rPr>
                            <w:t>OFFICIAL</w:t>
                          </w:r>
                        </w:p>
                      </w:txbxContent>
                    </wps:txbx>
                    <wps:bodyPr anchor="t" lIns="0" tIns="190500" rIns="0" bIns="0">
                      <a:noAutofit/>
                    </wps:bodyPr>
                  </wps:wsp>
                </a:graphicData>
              </a:graphic>
            </wp:anchor>
          </w:drawing>
        </mc:Choice>
        <mc:Fallback>
          <w:pict>
            <v:rect style="position:absolute;rotation:-0;width:36.2pt;height:29.1pt;mso-wrap-distance-left:0pt;mso-wrap-distance-right:0pt;mso-wrap-distance-top:0pt;mso-wrap-distance-bottom:0pt;margin-top:0pt;mso-position-vertical:top;mso-position-vertical-relative:page;margin-left:279.55pt;mso-position-horizontal:center;mso-position-horizontal-relative:page">
              <v:textbox inset="0in,0.208333333333333in,0in,0in">
                <w:txbxContent>
                  <w:p>
                    <w:pPr>
                      <w:pStyle w:val="Normal1"/>
                      <w:rPr>
                        <w:rFonts w:ascii="Calibri" w:hAnsi="Calibri" w:eastAsia="Calibri" w:cs="Calibri"/>
                        <w:color w:val="000000"/>
                        <w:sz w:val="20"/>
                        <w:szCs w:val="20"/>
                      </w:rPr>
                    </w:pPr>
                    <w:r>
                      <w:rPr>
                        <w:rFonts w:eastAsia="Calibri" w:cs="Calibri" w:ascii="Calibri" w:hAnsi="Calibri"/>
                        <w:color w:val="000000"/>
                        <w:sz w:val="20"/>
                        <w:szCs w:val="20"/>
                      </w:rPr>
                      <w:t>OFFICIAL</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1"/>
      <w:lvlJc w:val="start"/>
      <w:pPr>
        <w:tabs>
          <w:tab w:val="num" w:pos="0"/>
        </w:tabs>
        <w:ind w:start="0" w:hanging="0"/>
      </w:pPr>
    </w:lvl>
    <w:lvl w:ilvl="1">
      <w:start w:val="1"/>
      <w:numFmt w:val="none"/>
      <w:pStyle w:val="Heading2"/>
      <w:suff w:val="nothing"/>
      <w:lvlText w:val="%2"/>
      <w:lvlJc w:val="start"/>
      <w:pPr>
        <w:tabs>
          <w:tab w:val="num" w:pos="0"/>
        </w:tabs>
        <w:ind w:start="0" w:hanging="0"/>
      </w:pPr>
    </w:lvl>
    <w:lvl w:ilvl="2">
      <w:start w:val="1"/>
      <w:numFmt w:val="none"/>
      <w:pStyle w:val="Heading3"/>
      <w:suff w:val="nothing"/>
      <w:lvlText w:val="%3"/>
      <w:lvlJc w:val="start"/>
      <w:pPr>
        <w:tabs>
          <w:tab w:val="num" w:pos="0"/>
        </w:tabs>
        <w:ind w:start="0" w:hanging="0"/>
      </w:pPr>
    </w:lvl>
    <w:lvl w:ilvl="3">
      <w:start w:val="1"/>
      <w:numFmt w:val="none"/>
      <w:pStyle w:val="Heading4"/>
      <w:suff w:val="nothing"/>
      <w:lvlText w:val="%4"/>
      <w:lvlJc w:val="start"/>
      <w:pPr>
        <w:tabs>
          <w:tab w:val="num" w:pos="0"/>
        </w:tabs>
        <w:ind w:start="0" w:hanging="0"/>
      </w:pPr>
    </w:lvl>
    <w:lvl w:ilvl="4">
      <w:start w:val="1"/>
      <w:numFmt w:val="none"/>
      <w:pStyle w:val="Heading5"/>
      <w:suff w:val="nothing"/>
      <w:lvlText w:val="%5"/>
      <w:lvlJc w:val="start"/>
      <w:pPr>
        <w:tabs>
          <w:tab w:val="num" w:pos="0"/>
        </w:tabs>
        <w:ind w:start="0" w:hanging="0"/>
      </w:pPr>
    </w:lvl>
    <w:lvl w:ilvl="5">
      <w:start w:val="1"/>
      <w:numFmt w:val="none"/>
      <w:pStyle w:val="Heading6"/>
      <w:suff w:val="nothing"/>
      <w:lvlText w:val="%6"/>
      <w:lvlJc w:val="start"/>
      <w:pPr>
        <w:tabs>
          <w:tab w:val="num" w:pos="0"/>
        </w:tabs>
        <w:ind w:start="0" w:hanging="0"/>
      </w:pPr>
    </w:lvl>
    <w:lvl w:ilvl="6">
      <w:start w:val="1"/>
      <w:numFmt w:val="none"/>
      <w:pStyle w:val="Heading7"/>
      <w:suff w:val="nothing"/>
      <w:lvlText w:val="%7"/>
      <w:lvlJc w:val="start"/>
      <w:pPr>
        <w:tabs>
          <w:tab w:val="num" w:pos="0"/>
        </w:tabs>
        <w:ind w:start="0" w:hanging="0"/>
      </w:pPr>
    </w:lvl>
    <w:lvl w:ilvl="7">
      <w:start w:val="1"/>
      <w:numFmt w:val="none"/>
      <w:pStyle w:val="Heading8"/>
      <w:suff w:val="nothing"/>
      <w:lvlText w:val="%8"/>
      <w:lvlJc w:val="start"/>
      <w:pPr>
        <w:tabs>
          <w:tab w:val="num" w:pos="0"/>
        </w:tabs>
        <w:ind w:start="0" w:hanging="0"/>
      </w:pPr>
    </w:lvl>
    <w:lvl w:ilvl="8">
      <w:start w:val="1"/>
      <w:numFmt w:val="none"/>
      <w:pStyle w:val="Heading9"/>
      <w:suff w:val="nothing"/>
      <w:lvlText w:val="%9"/>
      <w:lvlJc w:val="start"/>
      <w:pPr>
        <w:tabs>
          <w:tab w:val="num" w:pos="0"/>
        </w:tabs>
        <w:ind w:start="0" w:hanging="0"/>
      </w:pPr>
    </w:lvl>
  </w:abstractNum>
  <w:abstractNum w:abstractNumId="2">
    <w:lvl w:ilvl="0">
      <w:start w:val="1"/>
      <w:numFmt w:val="decimal"/>
      <w:lvlText w:val="%1."/>
      <w:lvlJc w:val="start"/>
      <w:pPr>
        <w:tabs>
          <w:tab w:val="num" w:pos="0"/>
        </w:tabs>
        <w:ind w:start="720" w:hanging="360"/>
      </w:pPr>
      <w:rPr>
        <w:sz w:val="20"/>
      </w:rPr>
    </w:lvl>
    <w:lvl w:ilvl="1">
      <w:start w:val="1"/>
      <w:numFmt w:val="bullet"/>
      <w:lvlText w:val="o"/>
      <w:lvlJc w:val="start"/>
      <w:pPr>
        <w:tabs>
          <w:tab w:val="num" w:pos="0"/>
        </w:tabs>
        <w:ind w:start="1440" w:hanging="360"/>
      </w:pPr>
      <w:rPr>
        <w:rFonts w:ascii="Courier New" w:hAnsi="Courier New" w:cs="Courier New" w:hint="default"/>
        <w:sz w:val="20"/>
      </w:rPr>
    </w:lvl>
    <w:lvl w:ilvl="2">
      <w:start w:val="1"/>
      <w:numFmt w:val="bullet"/>
      <w:lvlText w:val=""/>
      <w:lvlJc w:val="start"/>
      <w:pPr>
        <w:tabs>
          <w:tab w:val="num" w:pos="0"/>
        </w:tabs>
        <w:ind w:start="2160" w:hanging="360"/>
      </w:pPr>
      <w:rPr>
        <w:rFonts w:ascii="Wingdings" w:hAnsi="Wingdings" w:cs="Wingdings" w:hint="default"/>
        <w:sz w:val="20"/>
      </w:rPr>
    </w:lvl>
    <w:lvl w:ilvl="3">
      <w:start w:val="1"/>
      <w:numFmt w:val="bullet"/>
      <w:lvlText w:val=""/>
      <w:lvlJc w:val="start"/>
      <w:pPr>
        <w:tabs>
          <w:tab w:val="num" w:pos="0"/>
        </w:tabs>
        <w:ind w:start="2880" w:hanging="360"/>
      </w:pPr>
      <w:rPr>
        <w:rFonts w:ascii="Wingdings" w:hAnsi="Wingdings" w:cs="Wingdings" w:hint="default"/>
        <w:sz w:val="20"/>
      </w:rPr>
    </w:lvl>
    <w:lvl w:ilvl="4">
      <w:start w:val="1"/>
      <w:numFmt w:val="bullet"/>
      <w:lvlText w:val=""/>
      <w:lvlJc w:val="start"/>
      <w:pPr>
        <w:tabs>
          <w:tab w:val="num" w:pos="0"/>
        </w:tabs>
        <w:ind w:start="3600" w:hanging="360"/>
      </w:pPr>
      <w:rPr>
        <w:rFonts w:ascii="Wingdings" w:hAnsi="Wingdings" w:cs="Wingdings" w:hint="default"/>
        <w:sz w:val="20"/>
      </w:rPr>
    </w:lvl>
    <w:lvl w:ilvl="5">
      <w:start w:val="1"/>
      <w:numFmt w:val="bullet"/>
      <w:lvlText w:val=""/>
      <w:lvlJc w:val="start"/>
      <w:pPr>
        <w:tabs>
          <w:tab w:val="num" w:pos="0"/>
        </w:tabs>
        <w:ind w:start="4320" w:hanging="360"/>
      </w:pPr>
      <w:rPr>
        <w:rFonts w:ascii="Wingdings" w:hAnsi="Wingdings" w:cs="Wingdings" w:hint="default"/>
        <w:sz w:val="20"/>
      </w:rPr>
    </w:lvl>
    <w:lvl w:ilvl="6">
      <w:start w:val="1"/>
      <w:numFmt w:val="bullet"/>
      <w:lvlText w:val=""/>
      <w:lvlJc w:val="start"/>
      <w:pPr>
        <w:tabs>
          <w:tab w:val="num" w:pos="0"/>
        </w:tabs>
        <w:ind w:start="5040" w:hanging="360"/>
      </w:pPr>
      <w:rPr>
        <w:rFonts w:ascii="Wingdings" w:hAnsi="Wingdings" w:cs="Wingdings" w:hint="default"/>
        <w:sz w:val="20"/>
      </w:rPr>
    </w:lvl>
    <w:lvl w:ilvl="7">
      <w:start w:val="1"/>
      <w:numFmt w:val="bullet"/>
      <w:lvlText w:val=""/>
      <w:lvlJc w:val="start"/>
      <w:pPr>
        <w:tabs>
          <w:tab w:val="num" w:pos="0"/>
        </w:tabs>
        <w:ind w:start="5760" w:hanging="360"/>
      </w:pPr>
      <w:rPr>
        <w:rFonts w:ascii="Wingdings" w:hAnsi="Wingdings" w:cs="Wingdings" w:hint="default"/>
        <w:sz w:val="20"/>
      </w:rPr>
    </w:lvl>
    <w:lvl w:ilvl="8">
      <w:start w:val="1"/>
      <w:numFmt w:val="bullet"/>
      <w:lvlText w:val=""/>
      <w:lvlJc w:val="start"/>
      <w:pPr>
        <w:tabs>
          <w:tab w:val="num" w:pos="0"/>
        </w:tabs>
        <w:ind w:start="6480" w:hanging="360"/>
      </w:pPr>
      <w:rPr>
        <w:rFonts w:ascii="Wingdings" w:hAnsi="Wingdings" w:cs="Wingdings" w:hint="default"/>
        <w:sz w:val="20"/>
      </w:rPr>
    </w:lvl>
  </w:abstractNum>
  <w:abstractNum w:abstractNumId="3">
    <w:lvl w:ilvl="0">
      <w:start w:val="1"/>
      <w:numFmt w:val="bullet"/>
      <w:lvlText w:val=""/>
      <w:lvlJc w:val="start"/>
      <w:pPr>
        <w:tabs>
          <w:tab w:val="num" w:pos="0"/>
        </w:tabs>
        <w:ind w:start="720" w:hanging="360"/>
      </w:pPr>
      <w:rPr>
        <w:rFonts w:ascii="Symbol" w:hAnsi="Symbol" w:cs="Symbol" w:hint="default"/>
        <w:sz w:val="20"/>
      </w:rPr>
    </w:lvl>
    <w:lvl w:ilvl="1">
      <w:start w:val="1"/>
      <w:numFmt w:val="bullet"/>
      <w:lvlText w:val="o"/>
      <w:lvlJc w:val="start"/>
      <w:pPr>
        <w:tabs>
          <w:tab w:val="num" w:pos="0"/>
        </w:tabs>
        <w:ind w:start="1440" w:hanging="360"/>
      </w:pPr>
      <w:rPr>
        <w:rFonts w:ascii="Courier New" w:hAnsi="Courier New" w:cs="Courier New" w:hint="default"/>
        <w:sz w:val="20"/>
      </w:rPr>
    </w:lvl>
    <w:lvl w:ilvl="2">
      <w:start w:val="1"/>
      <w:numFmt w:val="bullet"/>
      <w:lvlText w:val=""/>
      <w:lvlJc w:val="start"/>
      <w:pPr>
        <w:tabs>
          <w:tab w:val="num" w:pos="0"/>
        </w:tabs>
        <w:ind w:start="2160" w:hanging="360"/>
      </w:pPr>
      <w:rPr>
        <w:rFonts w:ascii="Wingdings" w:hAnsi="Wingdings" w:cs="Wingdings" w:hint="default"/>
        <w:sz w:val="20"/>
      </w:rPr>
    </w:lvl>
    <w:lvl w:ilvl="3">
      <w:start w:val="1"/>
      <w:numFmt w:val="bullet"/>
      <w:lvlText w:val=""/>
      <w:lvlJc w:val="start"/>
      <w:pPr>
        <w:tabs>
          <w:tab w:val="num" w:pos="0"/>
        </w:tabs>
        <w:ind w:start="2880" w:hanging="360"/>
      </w:pPr>
      <w:rPr>
        <w:rFonts w:ascii="Wingdings" w:hAnsi="Wingdings" w:cs="Wingdings" w:hint="default"/>
        <w:sz w:val="20"/>
      </w:rPr>
    </w:lvl>
    <w:lvl w:ilvl="4">
      <w:start w:val="1"/>
      <w:numFmt w:val="bullet"/>
      <w:lvlText w:val=""/>
      <w:lvlJc w:val="start"/>
      <w:pPr>
        <w:tabs>
          <w:tab w:val="num" w:pos="0"/>
        </w:tabs>
        <w:ind w:start="3600" w:hanging="360"/>
      </w:pPr>
      <w:rPr>
        <w:rFonts w:ascii="Wingdings" w:hAnsi="Wingdings" w:cs="Wingdings" w:hint="default"/>
        <w:sz w:val="20"/>
      </w:rPr>
    </w:lvl>
    <w:lvl w:ilvl="5">
      <w:start w:val="1"/>
      <w:numFmt w:val="bullet"/>
      <w:lvlText w:val=""/>
      <w:lvlJc w:val="start"/>
      <w:pPr>
        <w:tabs>
          <w:tab w:val="num" w:pos="0"/>
        </w:tabs>
        <w:ind w:start="4320" w:hanging="360"/>
      </w:pPr>
      <w:rPr>
        <w:rFonts w:ascii="Wingdings" w:hAnsi="Wingdings" w:cs="Wingdings" w:hint="default"/>
        <w:sz w:val="20"/>
      </w:rPr>
    </w:lvl>
    <w:lvl w:ilvl="6">
      <w:start w:val="1"/>
      <w:numFmt w:val="bullet"/>
      <w:lvlText w:val=""/>
      <w:lvlJc w:val="start"/>
      <w:pPr>
        <w:tabs>
          <w:tab w:val="num" w:pos="0"/>
        </w:tabs>
        <w:ind w:start="5040" w:hanging="360"/>
      </w:pPr>
      <w:rPr>
        <w:rFonts w:ascii="Wingdings" w:hAnsi="Wingdings" w:cs="Wingdings" w:hint="default"/>
        <w:sz w:val="20"/>
      </w:rPr>
    </w:lvl>
    <w:lvl w:ilvl="7">
      <w:start w:val="1"/>
      <w:numFmt w:val="bullet"/>
      <w:lvlText w:val=""/>
      <w:lvlJc w:val="start"/>
      <w:pPr>
        <w:tabs>
          <w:tab w:val="num" w:pos="0"/>
        </w:tabs>
        <w:ind w:start="5760" w:hanging="360"/>
      </w:pPr>
      <w:rPr>
        <w:rFonts w:ascii="Wingdings" w:hAnsi="Wingdings" w:cs="Wingdings" w:hint="default"/>
        <w:sz w:val="20"/>
      </w:rPr>
    </w:lvl>
    <w:lvl w:ilvl="8">
      <w:start w:val="1"/>
      <w:numFmt w:val="bullet"/>
      <w:lvlText w:val=""/>
      <w:lvlJc w:val="start"/>
      <w:pPr>
        <w:tabs>
          <w:tab w:val="num" w:pos="0"/>
        </w:tabs>
        <w:ind w:start="6480" w:hanging="360"/>
      </w:pPr>
      <w:rPr>
        <w:rFonts w:ascii="Wingdings" w:hAnsi="Wingdings" w:cs="Wingdings" w:hint="default"/>
        <w:sz w:val="20"/>
      </w:rPr>
    </w:lvl>
  </w:abstractNum>
  <w:abstractNum w:abstractNumId="4">
    <w:lvl w:ilvl="0">
      <w:start w:val="1"/>
      <w:numFmt w:val="bullet"/>
      <w:lvlText w:val=""/>
      <w:lvlJc w:val="start"/>
      <w:pPr>
        <w:tabs>
          <w:tab w:val="num" w:pos="0"/>
        </w:tabs>
        <w:ind w:start="720" w:hanging="360"/>
      </w:pPr>
      <w:rPr>
        <w:rFonts w:ascii="Symbol" w:hAnsi="Symbol" w:cs="Symbol" w:hint="default"/>
        <w:sz w:val="20"/>
      </w:rPr>
    </w:lvl>
    <w:lvl w:ilvl="1">
      <w:start w:val="1"/>
      <w:numFmt w:val="bullet"/>
      <w:lvlText w:val="o"/>
      <w:lvlJc w:val="start"/>
      <w:pPr>
        <w:tabs>
          <w:tab w:val="num" w:pos="0"/>
        </w:tabs>
        <w:ind w:start="1440" w:hanging="360"/>
      </w:pPr>
      <w:rPr>
        <w:rFonts w:ascii="Courier New" w:hAnsi="Courier New" w:cs="Courier New" w:hint="default"/>
        <w:sz w:val="20"/>
      </w:rPr>
    </w:lvl>
    <w:lvl w:ilvl="2">
      <w:start w:val="1"/>
      <w:numFmt w:val="bullet"/>
      <w:lvlText w:val=""/>
      <w:lvlJc w:val="start"/>
      <w:pPr>
        <w:tabs>
          <w:tab w:val="num" w:pos="0"/>
        </w:tabs>
        <w:ind w:start="2160" w:hanging="360"/>
      </w:pPr>
      <w:rPr>
        <w:rFonts w:ascii="Wingdings" w:hAnsi="Wingdings" w:cs="Wingdings" w:hint="default"/>
        <w:sz w:val="20"/>
      </w:rPr>
    </w:lvl>
    <w:lvl w:ilvl="3">
      <w:start w:val="1"/>
      <w:numFmt w:val="bullet"/>
      <w:lvlText w:val=""/>
      <w:lvlJc w:val="start"/>
      <w:pPr>
        <w:tabs>
          <w:tab w:val="num" w:pos="0"/>
        </w:tabs>
        <w:ind w:start="2880" w:hanging="360"/>
      </w:pPr>
      <w:rPr>
        <w:rFonts w:ascii="Wingdings" w:hAnsi="Wingdings" w:cs="Wingdings" w:hint="default"/>
        <w:sz w:val="20"/>
      </w:rPr>
    </w:lvl>
    <w:lvl w:ilvl="4">
      <w:start w:val="1"/>
      <w:numFmt w:val="bullet"/>
      <w:lvlText w:val=""/>
      <w:lvlJc w:val="start"/>
      <w:pPr>
        <w:tabs>
          <w:tab w:val="num" w:pos="0"/>
        </w:tabs>
        <w:ind w:start="3600" w:hanging="360"/>
      </w:pPr>
      <w:rPr>
        <w:rFonts w:ascii="Wingdings" w:hAnsi="Wingdings" w:cs="Wingdings" w:hint="default"/>
        <w:sz w:val="20"/>
      </w:rPr>
    </w:lvl>
    <w:lvl w:ilvl="5">
      <w:start w:val="1"/>
      <w:numFmt w:val="bullet"/>
      <w:lvlText w:val=""/>
      <w:lvlJc w:val="start"/>
      <w:pPr>
        <w:tabs>
          <w:tab w:val="num" w:pos="0"/>
        </w:tabs>
        <w:ind w:start="4320" w:hanging="360"/>
      </w:pPr>
      <w:rPr>
        <w:rFonts w:ascii="Wingdings" w:hAnsi="Wingdings" w:cs="Wingdings" w:hint="default"/>
        <w:sz w:val="20"/>
      </w:rPr>
    </w:lvl>
    <w:lvl w:ilvl="6">
      <w:start w:val="1"/>
      <w:numFmt w:val="bullet"/>
      <w:lvlText w:val=""/>
      <w:lvlJc w:val="start"/>
      <w:pPr>
        <w:tabs>
          <w:tab w:val="num" w:pos="0"/>
        </w:tabs>
        <w:ind w:start="5040" w:hanging="360"/>
      </w:pPr>
      <w:rPr>
        <w:rFonts w:ascii="Wingdings" w:hAnsi="Wingdings" w:cs="Wingdings" w:hint="default"/>
        <w:sz w:val="20"/>
      </w:rPr>
    </w:lvl>
    <w:lvl w:ilvl="7">
      <w:start w:val="1"/>
      <w:numFmt w:val="bullet"/>
      <w:lvlText w:val=""/>
      <w:lvlJc w:val="start"/>
      <w:pPr>
        <w:tabs>
          <w:tab w:val="num" w:pos="0"/>
        </w:tabs>
        <w:ind w:start="5760" w:hanging="360"/>
      </w:pPr>
      <w:rPr>
        <w:rFonts w:ascii="Wingdings" w:hAnsi="Wingdings" w:cs="Wingdings" w:hint="default"/>
        <w:sz w:val="20"/>
      </w:rPr>
    </w:lvl>
    <w:lvl w:ilvl="8">
      <w:start w:val="1"/>
      <w:numFmt w:val="bullet"/>
      <w:lvlText w:val=""/>
      <w:lvlJc w:val="start"/>
      <w:pPr>
        <w:tabs>
          <w:tab w:val="num" w:pos="0"/>
        </w:tabs>
        <w:ind w:start="6480" w:hanging="360"/>
      </w:pPr>
      <w:rPr>
        <w:rFonts w:ascii="Wingdings" w:hAnsi="Wingdings" w:cs="Wingdings" w:hint="default"/>
        <w:sz w:val="20"/>
      </w:rPr>
    </w:lvl>
  </w:abstractNum>
  <w:abstractNum w:abstractNumId="5">
    <w:lvl w:ilvl="0">
      <w:start w:val="1"/>
      <w:numFmt w:val="bullet"/>
      <w:lvlText w:val=""/>
      <w:lvlJc w:val="start"/>
      <w:pPr>
        <w:tabs>
          <w:tab w:val="num" w:pos="0"/>
        </w:tabs>
        <w:ind w:start="720" w:hanging="360"/>
      </w:pPr>
      <w:rPr>
        <w:rFonts w:ascii="Symbol" w:hAnsi="Symbol" w:cs="Symbol" w:hint="default"/>
        <w:sz w:val="20"/>
      </w:rPr>
    </w:lvl>
    <w:lvl w:ilvl="1">
      <w:start w:val="1"/>
      <w:numFmt w:val="bullet"/>
      <w:lvlText w:val="o"/>
      <w:lvlJc w:val="start"/>
      <w:pPr>
        <w:tabs>
          <w:tab w:val="num" w:pos="0"/>
        </w:tabs>
        <w:ind w:start="1440" w:hanging="360"/>
      </w:pPr>
      <w:rPr>
        <w:rFonts w:ascii="Courier New" w:hAnsi="Courier New" w:cs="Courier New" w:hint="default"/>
        <w:sz w:val="20"/>
      </w:rPr>
    </w:lvl>
    <w:lvl w:ilvl="2">
      <w:start w:val="1"/>
      <w:numFmt w:val="bullet"/>
      <w:lvlText w:val=""/>
      <w:lvlJc w:val="start"/>
      <w:pPr>
        <w:tabs>
          <w:tab w:val="num" w:pos="0"/>
        </w:tabs>
        <w:ind w:start="2160" w:hanging="360"/>
      </w:pPr>
      <w:rPr>
        <w:rFonts w:ascii="Wingdings" w:hAnsi="Wingdings" w:cs="Wingdings" w:hint="default"/>
        <w:sz w:val="20"/>
      </w:rPr>
    </w:lvl>
    <w:lvl w:ilvl="3">
      <w:start w:val="1"/>
      <w:numFmt w:val="bullet"/>
      <w:lvlText w:val=""/>
      <w:lvlJc w:val="start"/>
      <w:pPr>
        <w:tabs>
          <w:tab w:val="num" w:pos="0"/>
        </w:tabs>
        <w:ind w:start="2880" w:hanging="360"/>
      </w:pPr>
      <w:rPr>
        <w:rFonts w:ascii="Wingdings" w:hAnsi="Wingdings" w:cs="Wingdings" w:hint="default"/>
        <w:sz w:val="20"/>
      </w:rPr>
    </w:lvl>
    <w:lvl w:ilvl="4">
      <w:start w:val="1"/>
      <w:numFmt w:val="bullet"/>
      <w:lvlText w:val=""/>
      <w:lvlJc w:val="start"/>
      <w:pPr>
        <w:tabs>
          <w:tab w:val="num" w:pos="0"/>
        </w:tabs>
        <w:ind w:start="3600" w:hanging="360"/>
      </w:pPr>
      <w:rPr>
        <w:rFonts w:ascii="Wingdings" w:hAnsi="Wingdings" w:cs="Wingdings" w:hint="default"/>
        <w:sz w:val="20"/>
      </w:rPr>
    </w:lvl>
    <w:lvl w:ilvl="5">
      <w:start w:val="1"/>
      <w:numFmt w:val="bullet"/>
      <w:lvlText w:val=""/>
      <w:lvlJc w:val="start"/>
      <w:pPr>
        <w:tabs>
          <w:tab w:val="num" w:pos="0"/>
        </w:tabs>
        <w:ind w:start="4320" w:hanging="360"/>
      </w:pPr>
      <w:rPr>
        <w:rFonts w:ascii="Wingdings" w:hAnsi="Wingdings" w:cs="Wingdings" w:hint="default"/>
        <w:sz w:val="20"/>
      </w:rPr>
    </w:lvl>
    <w:lvl w:ilvl="6">
      <w:start w:val="1"/>
      <w:numFmt w:val="bullet"/>
      <w:lvlText w:val=""/>
      <w:lvlJc w:val="start"/>
      <w:pPr>
        <w:tabs>
          <w:tab w:val="num" w:pos="0"/>
        </w:tabs>
        <w:ind w:start="5040" w:hanging="360"/>
      </w:pPr>
      <w:rPr>
        <w:rFonts w:ascii="Wingdings" w:hAnsi="Wingdings" w:cs="Wingdings" w:hint="default"/>
        <w:sz w:val="20"/>
      </w:rPr>
    </w:lvl>
    <w:lvl w:ilvl="7">
      <w:start w:val="1"/>
      <w:numFmt w:val="bullet"/>
      <w:lvlText w:val=""/>
      <w:lvlJc w:val="start"/>
      <w:pPr>
        <w:tabs>
          <w:tab w:val="num" w:pos="0"/>
        </w:tabs>
        <w:ind w:start="5760" w:hanging="360"/>
      </w:pPr>
      <w:rPr>
        <w:rFonts w:ascii="Wingdings" w:hAnsi="Wingdings" w:cs="Wingdings" w:hint="default"/>
        <w:sz w:val="20"/>
      </w:rPr>
    </w:lvl>
    <w:lvl w:ilvl="8">
      <w:start w:val="1"/>
      <w:numFmt w:val="bullet"/>
      <w:lvlText w:val=""/>
      <w:lvlJc w:val="start"/>
      <w:pPr>
        <w:tabs>
          <w:tab w:val="num" w:pos="0"/>
        </w:tabs>
        <w:ind w:start="6480" w:hanging="360"/>
      </w:pPr>
      <w:rPr>
        <w:rFonts w:ascii="Wingdings" w:hAnsi="Wingdings" w:cs="Wingdings" w:hint="default"/>
        <w:sz w:val="20"/>
      </w:rPr>
    </w:lvl>
  </w:abstractNum>
  <w:abstractNum w:abstractNumId="6">
    <w:lvl w:ilvl="0">
      <w:start w:val="1"/>
      <w:numFmt w:val="bullet"/>
      <w:lvlText w:val=""/>
      <w:lvlJc w:val="start"/>
      <w:pPr>
        <w:tabs>
          <w:tab w:val="num" w:pos="0"/>
        </w:tabs>
        <w:ind w:start="720" w:hanging="360"/>
      </w:pPr>
      <w:rPr>
        <w:rFonts w:ascii="Symbol" w:hAnsi="Symbol" w:cs="Symbol" w:hint="default"/>
        <w:sz w:val="20"/>
      </w:rPr>
    </w:lvl>
    <w:lvl w:ilvl="1">
      <w:start w:val="1"/>
      <w:numFmt w:val="bullet"/>
      <w:lvlText w:val="o"/>
      <w:lvlJc w:val="start"/>
      <w:pPr>
        <w:tabs>
          <w:tab w:val="num" w:pos="0"/>
        </w:tabs>
        <w:ind w:start="1440" w:hanging="360"/>
      </w:pPr>
      <w:rPr>
        <w:rFonts w:ascii="Courier New" w:hAnsi="Courier New" w:cs="Courier New" w:hint="default"/>
        <w:sz w:val="20"/>
      </w:rPr>
    </w:lvl>
    <w:lvl w:ilvl="2">
      <w:start w:val="1"/>
      <w:numFmt w:val="bullet"/>
      <w:lvlText w:val=""/>
      <w:lvlJc w:val="start"/>
      <w:pPr>
        <w:tabs>
          <w:tab w:val="num" w:pos="0"/>
        </w:tabs>
        <w:ind w:start="2160" w:hanging="360"/>
      </w:pPr>
      <w:rPr>
        <w:rFonts w:ascii="Wingdings" w:hAnsi="Wingdings" w:cs="Wingdings" w:hint="default"/>
        <w:sz w:val="20"/>
      </w:rPr>
    </w:lvl>
    <w:lvl w:ilvl="3">
      <w:start w:val="1"/>
      <w:numFmt w:val="bullet"/>
      <w:lvlText w:val=""/>
      <w:lvlJc w:val="start"/>
      <w:pPr>
        <w:tabs>
          <w:tab w:val="num" w:pos="0"/>
        </w:tabs>
        <w:ind w:start="2880" w:hanging="360"/>
      </w:pPr>
      <w:rPr>
        <w:rFonts w:ascii="Wingdings" w:hAnsi="Wingdings" w:cs="Wingdings" w:hint="default"/>
        <w:sz w:val="20"/>
      </w:rPr>
    </w:lvl>
    <w:lvl w:ilvl="4">
      <w:start w:val="1"/>
      <w:numFmt w:val="bullet"/>
      <w:lvlText w:val=""/>
      <w:lvlJc w:val="start"/>
      <w:pPr>
        <w:tabs>
          <w:tab w:val="num" w:pos="0"/>
        </w:tabs>
        <w:ind w:start="3600" w:hanging="360"/>
      </w:pPr>
      <w:rPr>
        <w:rFonts w:ascii="Wingdings" w:hAnsi="Wingdings" w:cs="Wingdings" w:hint="default"/>
        <w:sz w:val="20"/>
      </w:rPr>
    </w:lvl>
    <w:lvl w:ilvl="5">
      <w:start w:val="1"/>
      <w:numFmt w:val="bullet"/>
      <w:lvlText w:val=""/>
      <w:lvlJc w:val="start"/>
      <w:pPr>
        <w:tabs>
          <w:tab w:val="num" w:pos="0"/>
        </w:tabs>
        <w:ind w:start="4320" w:hanging="360"/>
      </w:pPr>
      <w:rPr>
        <w:rFonts w:ascii="Wingdings" w:hAnsi="Wingdings" w:cs="Wingdings" w:hint="default"/>
        <w:sz w:val="20"/>
      </w:rPr>
    </w:lvl>
    <w:lvl w:ilvl="6">
      <w:start w:val="1"/>
      <w:numFmt w:val="bullet"/>
      <w:lvlText w:val=""/>
      <w:lvlJc w:val="start"/>
      <w:pPr>
        <w:tabs>
          <w:tab w:val="num" w:pos="0"/>
        </w:tabs>
        <w:ind w:start="5040" w:hanging="360"/>
      </w:pPr>
      <w:rPr>
        <w:rFonts w:ascii="Wingdings" w:hAnsi="Wingdings" w:cs="Wingdings" w:hint="default"/>
        <w:sz w:val="20"/>
      </w:rPr>
    </w:lvl>
    <w:lvl w:ilvl="7">
      <w:start w:val="1"/>
      <w:numFmt w:val="bullet"/>
      <w:lvlText w:val=""/>
      <w:lvlJc w:val="start"/>
      <w:pPr>
        <w:tabs>
          <w:tab w:val="num" w:pos="0"/>
        </w:tabs>
        <w:ind w:start="5760" w:hanging="360"/>
      </w:pPr>
      <w:rPr>
        <w:rFonts w:ascii="Wingdings" w:hAnsi="Wingdings" w:cs="Wingdings" w:hint="default"/>
        <w:sz w:val="20"/>
      </w:rPr>
    </w:lvl>
    <w:lvl w:ilvl="8">
      <w:start w:val="1"/>
      <w:numFmt w:val="bullet"/>
      <w:lvlText w:val=""/>
      <w:lvlJc w:val="start"/>
      <w:pPr>
        <w:tabs>
          <w:tab w:val="num" w:pos="0"/>
        </w:tabs>
        <w:ind w:start="6480" w:hanging="360"/>
      </w:pPr>
      <w:rPr>
        <w:rFonts w:ascii="Wingdings" w:hAnsi="Wingdings" w:cs="Wingdings" w:hint="default"/>
        <w:sz w:val="20"/>
      </w:rPr>
    </w:lvl>
  </w:abstractNum>
  <w:abstractNum w:abstractNumId="7">
    <w:lvl w:ilvl="0">
      <w:start w:val="1"/>
      <w:numFmt w:val="bullet"/>
      <w:lvlText w:val=""/>
      <w:lvlJc w:val="start"/>
      <w:pPr>
        <w:tabs>
          <w:tab w:val="num" w:pos="0"/>
        </w:tabs>
        <w:ind w:start="720" w:hanging="360"/>
      </w:pPr>
      <w:rPr>
        <w:rFonts w:ascii="Symbol" w:hAnsi="Symbol" w:cs="Symbol" w:hint="default"/>
        <w:sz w:val="20"/>
      </w:rPr>
    </w:lvl>
    <w:lvl w:ilvl="1">
      <w:start w:val="1"/>
      <w:numFmt w:val="bullet"/>
      <w:lvlText w:val="o"/>
      <w:lvlJc w:val="start"/>
      <w:pPr>
        <w:tabs>
          <w:tab w:val="num" w:pos="0"/>
        </w:tabs>
        <w:ind w:start="1440" w:hanging="360"/>
      </w:pPr>
      <w:rPr>
        <w:rFonts w:ascii="Courier New" w:hAnsi="Courier New" w:cs="Courier New" w:hint="default"/>
        <w:sz w:val="20"/>
      </w:rPr>
    </w:lvl>
    <w:lvl w:ilvl="2">
      <w:start w:val="1"/>
      <w:numFmt w:val="bullet"/>
      <w:lvlText w:val=""/>
      <w:lvlJc w:val="start"/>
      <w:pPr>
        <w:tabs>
          <w:tab w:val="num" w:pos="0"/>
        </w:tabs>
        <w:ind w:start="2160" w:hanging="360"/>
      </w:pPr>
      <w:rPr>
        <w:rFonts w:ascii="Wingdings" w:hAnsi="Wingdings" w:cs="Wingdings" w:hint="default"/>
        <w:sz w:val="20"/>
      </w:rPr>
    </w:lvl>
    <w:lvl w:ilvl="3">
      <w:start w:val="1"/>
      <w:numFmt w:val="bullet"/>
      <w:lvlText w:val=""/>
      <w:lvlJc w:val="start"/>
      <w:pPr>
        <w:tabs>
          <w:tab w:val="num" w:pos="0"/>
        </w:tabs>
        <w:ind w:start="2880" w:hanging="360"/>
      </w:pPr>
      <w:rPr>
        <w:rFonts w:ascii="Wingdings" w:hAnsi="Wingdings" w:cs="Wingdings" w:hint="default"/>
        <w:sz w:val="20"/>
      </w:rPr>
    </w:lvl>
    <w:lvl w:ilvl="4">
      <w:start w:val="1"/>
      <w:numFmt w:val="bullet"/>
      <w:lvlText w:val=""/>
      <w:lvlJc w:val="start"/>
      <w:pPr>
        <w:tabs>
          <w:tab w:val="num" w:pos="0"/>
        </w:tabs>
        <w:ind w:start="3600" w:hanging="360"/>
      </w:pPr>
      <w:rPr>
        <w:rFonts w:ascii="Wingdings" w:hAnsi="Wingdings" w:cs="Wingdings" w:hint="default"/>
        <w:sz w:val="20"/>
      </w:rPr>
    </w:lvl>
    <w:lvl w:ilvl="5">
      <w:start w:val="1"/>
      <w:numFmt w:val="bullet"/>
      <w:lvlText w:val=""/>
      <w:lvlJc w:val="start"/>
      <w:pPr>
        <w:tabs>
          <w:tab w:val="num" w:pos="0"/>
        </w:tabs>
        <w:ind w:start="4320" w:hanging="360"/>
      </w:pPr>
      <w:rPr>
        <w:rFonts w:ascii="Wingdings" w:hAnsi="Wingdings" w:cs="Wingdings" w:hint="default"/>
        <w:sz w:val="20"/>
      </w:rPr>
    </w:lvl>
    <w:lvl w:ilvl="6">
      <w:start w:val="1"/>
      <w:numFmt w:val="bullet"/>
      <w:lvlText w:val=""/>
      <w:lvlJc w:val="start"/>
      <w:pPr>
        <w:tabs>
          <w:tab w:val="num" w:pos="0"/>
        </w:tabs>
        <w:ind w:start="5040" w:hanging="360"/>
      </w:pPr>
      <w:rPr>
        <w:rFonts w:ascii="Wingdings" w:hAnsi="Wingdings" w:cs="Wingdings" w:hint="default"/>
        <w:sz w:val="20"/>
      </w:rPr>
    </w:lvl>
    <w:lvl w:ilvl="7">
      <w:start w:val="1"/>
      <w:numFmt w:val="bullet"/>
      <w:lvlText w:val=""/>
      <w:lvlJc w:val="start"/>
      <w:pPr>
        <w:tabs>
          <w:tab w:val="num" w:pos="0"/>
        </w:tabs>
        <w:ind w:start="5760" w:hanging="360"/>
      </w:pPr>
      <w:rPr>
        <w:rFonts w:ascii="Wingdings" w:hAnsi="Wingdings" w:cs="Wingdings" w:hint="default"/>
        <w:sz w:val="20"/>
      </w:rPr>
    </w:lvl>
    <w:lvl w:ilvl="8">
      <w:start w:val="1"/>
      <w:numFmt w:val="bullet"/>
      <w:lvlText w:val=""/>
      <w:lvlJc w:val="start"/>
      <w:pPr>
        <w:tabs>
          <w:tab w:val="num" w:pos="0"/>
        </w:tabs>
        <w:ind w:start="6480" w:hanging="360"/>
      </w:pPr>
      <w:rPr>
        <w:rFonts w:ascii="Wingdings" w:hAnsi="Wingdings" w:cs="Wingdings" w:hint="default"/>
        <w:sz w:val="20"/>
      </w:rPr>
    </w:lvl>
  </w:abstractNum>
  <w:abstractNum w:abstractNumId="8">
    <w:lvl w:ilvl="0">
      <w:start w:val="1"/>
      <w:numFmt w:val="decimal"/>
      <w:lvlText w:val="%1."/>
      <w:lvlJc w:val="start"/>
      <w:pPr>
        <w:tabs>
          <w:tab w:val="num" w:pos="0"/>
        </w:tabs>
        <w:ind w:start="720" w:hanging="360"/>
      </w:pPr>
    </w:lvl>
    <w:lvl w:ilvl="1">
      <w:start w:val="1"/>
      <w:numFmt w:val="lowerLetter"/>
      <w:lvlText w:val="%2."/>
      <w:lvlJc w:val="start"/>
      <w:pPr>
        <w:tabs>
          <w:tab w:val="num" w:pos="0"/>
        </w:tabs>
        <w:ind w:start="1440" w:hanging="360"/>
      </w:pPr>
    </w:lvl>
    <w:lvl w:ilvl="2">
      <w:start w:val="1"/>
      <w:numFmt w:val="lowerRoman"/>
      <w:lvlText w:val="%3."/>
      <w:lvlJc w:val="end"/>
      <w:pPr>
        <w:tabs>
          <w:tab w:val="num" w:pos="0"/>
        </w:tabs>
        <w:ind w:start="2160" w:hanging="180"/>
      </w:pPr>
    </w:lvl>
    <w:lvl w:ilvl="3">
      <w:start w:val="1"/>
      <w:numFmt w:val="decimal"/>
      <w:lvlText w:val="%4."/>
      <w:lvlJc w:val="start"/>
      <w:pPr>
        <w:tabs>
          <w:tab w:val="num" w:pos="0"/>
        </w:tabs>
        <w:ind w:start="2880" w:hanging="360"/>
      </w:pPr>
    </w:lvl>
    <w:lvl w:ilvl="4">
      <w:start w:val="1"/>
      <w:numFmt w:val="lowerLetter"/>
      <w:lvlText w:val="%5."/>
      <w:lvlJc w:val="start"/>
      <w:pPr>
        <w:tabs>
          <w:tab w:val="num" w:pos="0"/>
        </w:tabs>
        <w:ind w:start="3600" w:hanging="360"/>
      </w:pPr>
    </w:lvl>
    <w:lvl w:ilvl="5">
      <w:start w:val="1"/>
      <w:numFmt w:val="lowerRoman"/>
      <w:lvlText w:val="%6."/>
      <w:lvlJc w:val="end"/>
      <w:pPr>
        <w:tabs>
          <w:tab w:val="num" w:pos="0"/>
        </w:tabs>
        <w:ind w:start="4320" w:hanging="180"/>
      </w:pPr>
    </w:lvl>
    <w:lvl w:ilvl="6">
      <w:start w:val="1"/>
      <w:numFmt w:val="decimal"/>
      <w:lvlText w:val="%7."/>
      <w:lvlJc w:val="start"/>
      <w:pPr>
        <w:tabs>
          <w:tab w:val="num" w:pos="0"/>
        </w:tabs>
        <w:ind w:start="5040" w:hanging="360"/>
      </w:pPr>
    </w:lvl>
    <w:lvl w:ilvl="7">
      <w:start w:val="1"/>
      <w:numFmt w:val="lowerLetter"/>
      <w:lvlText w:val="%8."/>
      <w:lvlJc w:val="start"/>
      <w:pPr>
        <w:tabs>
          <w:tab w:val="num" w:pos="0"/>
        </w:tabs>
        <w:ind w:start="5760" w:hanging="360"/>
      </w:pPr>
    </w:lvl>
    <w:lvl w:ilvl="8">
      <w:start w:val="1"/>
      <w:numFmt w:val="lowerRoman"/>
      <w:lvlText w:val="%9."/>
      <w:lvlJc w:val="end"/>
      <w:pPr>
        <w:tabs>
          <w:tab w:val="num" w:pos="0"/>
        </w:tabs>
        <w:ind w:start="6480" w:hanging="180"/>
      </w:pPr>
    </w:lvl>
  </w:abstractNum>
  <w:abstractNum w:abstractNumId="9">
    <w:lvl w:ilvl="0">
      <w:start w:val="1"/>
      <w:numFmt w:val="lowerLetter"/>
      <w:lvlText w:val="%1."/>
      <w:lvlJc w:val="start"/>
      <w:pPr>
        <w:tabs>
          <w:tab w:val="num" w:pos="0"/>
        </w:tabs>
        <w:ind w:start="720" w:hanging="360"/>
      </w:pPr>
    </w:lvl>
    <w:lvl w:ilvl="1">
      <w:start w:val="1"/>
      <w:numFmt w:val="lowerLetter"/>
      <w:lvlText w:val="%2."/>
      <w:lvlJc w:val="start"/>
      <w:pPr>
        <w:tabs>
          <w:tab w:val="num" w:pos="0"/>
        </w:tabs>
        <w:ind w:start="1440" w:hanging="360"/>
      </w:pPr>
    </w:lvl>
    <w:lvl w:ilvl="2">
      <w:start w:val="1"/>
      <w:numFmt w:val="lowerRoman"/>
      <w:lvlText w:val="%3."/>
      <w:lvlJc w:val="end"/>
      <w:pPr>
        <w:tabs>
          <w:tab w:val="num" w:pos="0"/>
        </w:tabs>
        <w:ind w:start="2160" w:hanging="180"/>
      </w:pPr>
    </w:lvl>
    <w:lvl w:ilvl="3">
      <w:start w:val="1"/>
      <w:numFmt w:val="decimal"/>
      <w:lvlText w:val="%4."/>
      <w:lvlJc w:val="start"/>
      <w:pPr>
        <w:tabs>
          <w:tab w:val="num" w:pos="0"/>
        </w:tabs>
        <w:ind w:start="2880" w:hanging="360"/>
      </w:pPr>
    </w:lvl>
    <w:lvl w:ilvl="4">
      <w:start w:val="1"/>
      <w:numFmt w:val="lowerLetter"/>
      <w:lvlText w:val="%5."/>
      <w:lvlJc w:val="start"/>
      <w:pPr>
        <w:tabs>
          <w:tab w:val="num" w:pos="0"/>
        </w:tabs>
        <w:ind w:start="3600" w:hanging="360"/>
      </w:pPr>
    </w:lvl>
    <w:lvl w:ilvl="5">
      <w:start w:val="1"/>
      <w:numFmt w:val="lowerRoman"/>
      <w:lvlText w:val="%6."/>
      <w:lvlJc w:val="end"/>
      <w:pPr>
        <w:tabs>
          <w:tab w:val="num" w:pos="0"/>
        </w:tabs>
        <w:ind w:start="4320" w:hanging="180"/>
      </w:pPr>
    </w:lvl>
    <w:lvl w:ilvl="6">
      <w:start w:val="1"/>
      <w:numFmt w:val="decimal"/>
      <w:lvlText w:val="%7."/>
      <w:lvlJc w:val="start"/>
      <w:pPr>
        <w:tabs>
          <w:tab w:val="num" w:pos="0"/>
        </w:tabs>
        <w:ind w:start="5040" w:hanging="360"/>
      </w:pPr>
    </w:lvl>
    <w:lvl w:ilvl="7">
      <w:start w:val="1"/>
      <w:numFmt w:val="lowerLetter"/>
      <w:lvlText w:val="%8."/>
      <w:lvlJc w:val="start"/>
      <w:pPr>
        <w:tabs>
          <w:tab w:val="num" w:pos="0"/>
        </w:tabs>
        <w:ind w:start="5760" w:hanging="360"/>
      </w:pPr>
    </w:lvl>
    <w:lvl w:ilvl="8">
      <w:start w:val="1"/>
      <w:numFmt w:val="lowerRoman"/>
      <w:lvlText w:val="%9."/>
      <w:lvlJc w:val="end"/>
      <w:pPr>
        <w:tabs>
          <w:tab w:val="num" w:pos="0"/>
        </w:tabs>
        <w:ind w:start="6480" w:hanging="180"/>
      </w:pPr>
    </w:lvl>
  </w:abstractNum>
  <w:abstractNum w:abstractNumId="10">
    <w:lvl w:ilvl="0">
      <w:start w:val="1"/>
      <w:numFmt w:val="bullet"/>
      <w:lvlText w:val=""/>
      <w:lvlJc w:val="start"/>
      <w:pPr>
        <w:tabs>
          <w:tab w:val="num" w:pos="0"/>
        </w:tabs>
        <w:ind w:start="720" w:hanging="360"/>
      </w:pPr>
      <w:rPr>
        <w:rFonts w:ascii="Symbol" w:hAnsi="Symbol" w:cs="Symbol" w:hint="default"/>
        <w:sz w:val="20"/>
      </w:rPr>
    </w:lvl>
    <w:lvl w:ilvl="1">
      <w:start w:val="1"/>
      <w:numFmt w:val="bullet"/>
      <w:lvlText w:val="o"/>
      <w:lvlJc w:val="start"/>
      <w:pPr>
        <w:tabs>
          <w:tab w:val="num" w:pos="0"/>
        </w:tabs>
        <w:ind w:start="1440" w:hanging="360"/>
      </w:pPr>
      <w:rPr>
        <w:rFonts w:ascii="Courier New" w:hAnsi="Courier New" w:cs="Courier New" w:hint="default"/>
        <w:sz w:val="20"/>
      </w:rPr>
    </w:lvl>
    <w:lvl w:ilvl="2">
      <w:start w:val="1"/>
      <w:numFmt w:val="bullet"/>
      <w:lvlText w:val=""/>
      <w:lvlJc w:val="start"/>
      <w:pPr>
        <w:tabs>
          <w:tab w:val="num" w:pos="0"/>
        </w:tabs>
        <w:ind w:start="2160" w:hanging="360"/>
      </w:pPr>
      <w:rPr>
        <w:rFonts w:ascii="Wingdings" w:hAnsi="Wingdings" w:cs="Wingdings" w:hint="default"/>
        <w:sz w:val="20"/>
      </w:rPr>
    </w:lvl>
    <w:lvl w:ilvl="3">
      <w:start w:val="1"/>
      <w:numFmt w:val="bullet"/>
      <w:lvlText w:val=""/>
      <w:lvlJc w:val="start"/>
      <w:pPr>
        <w:tabs>
          <w:tab w:val="num" w:pos="0"/>
        </w:tabs>
        <w:ind w:start="2880" w:hanging="360"/>
      </w:pPr>
      <w:rPr>
        <w:rFonts w:ascii="Wingdings" w:hAnsi="Wingdings" w:cs="Wingdings" w:hint="default"/>
        <w:sz w:val="20"/>
      </w:rPr>
    </w:lvl>
    <w:lvl w:ilvl="4">
      <w:start w:val="1"/>
      <w:numFmt w:val="bullet"/>
      <w:lvlText w:val=""/>
      <w:lvlJc w:val="start"/>
      <w:pPr>
        <w:tabs>
          <w:tab w:val="num" w:pos="0"/>
        </w:tabs>
        <w:ind w:start="3600" w:hanging="360"/>
      </w:pPr>
      <w:rPr>
        <w:rFonts w:ascii="Wingdings" w:hAnsi="Wingdings" w:cs="Wingdings" w:hint="default"/>
        <w:sz w:val="20"/>
      </w:rPr>
    </w:lvl>
    <w:lvl w:ilvl="5">
      <w:start w:val="1"/>
      <w:numFmt w:val="bullet"/>
      <w:lvlText w:val=""/>
      <w:lvlJc w:val="start"/>
      <w:pPr>
        <w:tabs>
          <w:tab w:val="num" w:pos="0"/>
        </w:tabs>
        <w:ind w:start="4320" w:hanging="360"/>
      </w:pPr>
      <w:rPr>
        <w:rFonts w:ascii="Wingdings" w:hAnsi="Wingdings" w:cs="Wingdings" w:hint="default"/>
        <w:sz w:val="20"/>
      </w:rPr>
    </w:lvl>
    <w:lvl w:ilvl="6">
      <w:start w:val="1"/>
      <w:numFmt w:val="bullet"/>
      <w:lvlText w:val=""/>
      <w:lvlJc w:val="start"/>
      <w:pPr>
        <w:tabs>
          <w:tab w:val="num" w:pos="0"/>
        </w:tabs>
        <w:ind w:start="5040" w:hanging="360"/>
      </w:pPr>
      <w:rPr>
        <w:rFonts w:ascii="Wingdings" w:hAnsi="Wingdings" w:cs="Wingdings" w:hint="default"/>
        <w:sz w:val="20"/>
      </w:rPr>
    </w:lvl>
    <w:lvl w:ilvl="7">
      <w:start w:val="1"/>
      <w:numFmt w:val="bullet"/>
      <w:lvlText w:val=""/>
      <w:lvlJc w:val="start"/>
      <w:pPr>
        <w:tabs>
          <w:tab w:val="num" w:pos="0"/>
        </w:tabs>
        <w:ind w:start="5760" w:hanging="360"/>
      </w:pPr>
      <w:rPr>
        <w:rFonts w:ascii="Wingdings" w:hAnsi="Wingdings" w:cs="Wingdings" w:hint="default"/>
        <w:sz w:val="20"/>
      </w:rPr>
    </w:lvl>
    <w:lvl w:ilvl="8">
      <w:start w:val="1"/>
      <w:numFmt w:val="bullet"/>
      <w:lvlText w:val=""/>
      <w:lvlJc w:val="start"/>
      <w:pPr>
        <w:tabs>
          <w:tab w:val="num" w:pos="0"/>
        </w:tabs>
        <w:ind w:start="6480" w:hanging="360"/>
      </w:pPr>
      <w:rPr>
        <w:rFonts w:ascii="Wingdings" w:hAnsi="Wingdings" w:cs="Wingdings" w:hint="default"/>
        <w:sz w:val="20"/>
      </w:rPr>
    </w:lvl>
  </w:abstractNum>
  <w:abstractNum w:abstractNumId="11">
    <w:lvl w:ilvl="0">
      <w:start w:val="1"/>
      <w:numFmt w:val="bullet"/>
      <w:lvlText w:val=""/>
      <w:lvlJc w:val="start"/>
      <w:pPr>
        <w:tabs>
          <w:tab w:val="num" w:pos="0"/>
        </w:tabs>
        <w:ind w:start="720" w:hanging="360"/>
      </w:pPr>
      <w:rPr>
        <w:rFonts w:ascii="Symbol" w:hAnsi="Symbol" w:cs="Symbol" w:hint="default"/>
        <w:sz w:val="20"/>
      </w:rPr>
    </w:lvl>
    <w:lvl w:ilvl="1">
      <w:start w:val="1"/>
      <w:numFmt w:val="bullet"/>
      <w:lvlText w:val="o"/>
      <w:lvlJc w:val="start"/>
      <w:pPr>
        <w:tabs>
          <w:tab w:val="num" w:pos="0"/>
        </w:tabs>
        <w:ind w:start="1440" w:hanging="360"/>
      </w:pPr>
      <w:rPr>
        <w:rFonts w:ascii="Courier New" w:hAnsi="Courier New" w:cs="Courier New" w:hint="default"/>
        <w:sz w:val="20"/>
      </w:rPr>
    </w:lvl>
    <w:lvl w:ilvl="2">
      <w:start w:val="1"/>
      <w:numFmt w:val="bullet"/>
      <w:lvlText w:val=""/>
      <w:lvlJc w:val="start"/>
      <w:pPr>
        <w:tabs>
          <w:tab w:val="num" w:pos="0"/>
        </w:tabs>
        <w:ind w:start="2160" w:hanging="360"/>
      </w:pPr>
      <w:rPr>
        <w:rFonts w:ascii="Wingdings" w:hAnsi="Wingdings" w:cs="Wingdings" w:hint="default"/>
        <w:sz w:val="20"/>
      </w:rPr>
    </w:lvl>
    <w:lvl w:ilvl="3">
      <w:start w:val="1"/>
      <w:numFmt w:val="bullet"/>
      <w:lvlText w:val=""/>
      <w:lvlJc w:val="start"/>
      <w:pPr>
        <w:tabs>
          <w:tab w:val="num" w:pos="0"/>
        </w:tabs>
        <w:ind w:start="2880" w:hanging="360"/>
      </w:pPr>
      <w:rPr>
        <w:rFonts w:ascii="Wingdings" w:hAnsi="Wingdings" w:cs="Wingdings" w:hint="default"/>
        <w:sz w:val="20"/>
      </w:rPr>
    </w:lvl>
    <w:lvl w:ilvl="4">
      <w:start w:val="1"/>
      <w:numFmt w:val="bullet"/>
      <w:lvlText w:val=""/>
      <w:lvlJc w:val="start"/>
      <w:pPr>
        <w:tabs>
          <w:tab w:val="num" w:pos="0"/>
        </w:tabs>
        <w:ind w:start="3600" w:hanging="360"/>
      </w:pPr>
      <w:rPr>
        <w:rFonts w:ascii="Wingdings" w:hAnsi="Wingdings" w:cs="Wingdings" w:hint="default"/>
        <w:sz w:val="20"/>
      </w:rPr>
    </w:lvl>
    <w:lvl w:ilvl="5">
      <w:start w:val="1"/>
      <w:numFmt w:val="bullet"/>
      <w:lvlText w:val=""/>
      <w:lvlJc w:val="start"/>
      <w:pPr>
        <w:tabs>
          <w:tab w:val="num" w:pos="0"/>
        </w:tabs>
        <w:ind w:start="4320" w:hanging="360"/>
      </w:pPr>
      <w:rPr>
        <w:rFonts w:ascii="Wingdings" w:hAnsi="Wingdings" w:cs="Wingdings" w:hint="default"/>
        <w:sz w:val="20"/>
      </w:rPr>
    </w:lvl>
    <w:lvl w:ilvl="6">
      <w:start w:val="1"/>
      <w:numFmt w:val="bullet"/>
      <w:lvlText w:val=""/>
      <w:lvlJc w:val="start"/>
      <w:pPr>
        <w:tabs>
          <w:tab w:val="num" w:pos="0"/>
        </w:tabs>
        <w:ind w:start="5040" w:hanging="360"/>
      </w:pPr>
      <w:rPr>
        <w:rFonts w:ascii="Wingdings" w:hAnsi="Wingdings" w:cs="Wingdings" w:hint="default"/>
        <w:sz w:val="20"/>
      </w:rPr>
    </w:lvl>
    <w:lvl w:ilvl="7">
      <w:start w:val="1"/>
      <w:numFmt w:val="bullet"/>
      <w:lvlText w:val=""/>
      <w:lvlJc w:val="start"/>
      <w:pPr>
        <w:tabs>
          <w:tab w:val="num" w:pos="0"/>
        </w:tabs>
        <w:ind w:start="5760" w:hanging="360"/>
      </w:pPr>
      <w:rPr>
        <w:rFonts w:ascii="Wingdings" w:hAnsi="Wingdings" w:cs="Wingdings" w:hint="default"/>
        <w:sz w:val="20"/>
      </w:rPr>
    </w:lvl>
    <w:lvl w:ilvl="8">
      <w:start w:val="1"/>
      <w:numFmt w:val="bullet"/>
      <w:lvlText w:val=""/>
      <w:lvlJc w:val="start"/>
      <w:pPr>
        <w:tabs>
          <w:tab w:val="num" w:pos="0"/>
        </w:tabs>
        <w:ind w:start="6480" w:hanging="360"/>
      </w:pPr>
      <w:rPr>
        <w:rFonts w:ascii="Wingdings" w:hAnsi="Wingdings" w:cs="Wingdings" w:hint="default"/>
        <w:sz w:val="20"/>
      </w:rPr>
    </w:lvl>
  </w:abstractNum>
  <w:abstractNum w:abstractNumId="12">
    <w:lvl w:ilvl="0">
      <w:start w:val="1"/>
      <w:numFmt w:val="bullet"/>
      <w:lvlText w:val=""/>
      <w:lvlJc w:val="start"/>
      <w:pPr>
        <w:tabs>
          <w:tab w:val="num" w:pos="0"/>
        </w:tabs>
        <w:ind w:start="720" w:hanging="360"/>
      </w:pPr>
      <w:rPr>
        <w:rFonts w:ascii="Symbol" w:hAnsi="Symbol" w:cs="Symbol" w:hint="default"/>
        <w:sz w:val="20"/>
      </w:rPr>
    </w:lvl>
    <w:lvl w:ilvl="1">
      <w:start w:val="1"/>
      <w:numFmt w:val="bullet"/>
      <w:lvlText w:val="o"/>
      <w:lvlJc w:val="start"/>
      <w:pPr>
        <w:tabs>
          <w:tab w:val="num" w:pos="0"/>
        </w:tabs>
        <w:ind w:start="1440" w:hanging="360"/>
      </w:pPr>
      <w:rPr>
        <w:rFonts w:ascii="Courier New" w:hAnsi="Courier New" w:cs="Courier New" w:hint="default"/>
        <w:sz w:val="20"/>
      </w:rPr>
    </w:lvl>
    <w:lvl w:ilvl="2">
      <w:start w:val="1"/>
      <w:numFmt w:val="bullet"/>
      <w:lvlText w:val=""/>
      <w:lvlJc w:val="start"/>
      <w:pPr>
        <w:tabs>
          <w:tab w:val="num" w:pos="0"/>
        </w:tabs>
        <w:ind w:start="2160" w:hanging="360"/>
      </w:pPr>
      <w:rPr>
        <w:rFonts w:ascii="Wingdings" w:hAnsi="Wingdings" w:cs="Wingdings" w:hint="default"/>
        <w:sz w:val="20"/>
      </w:rPr>
    </w:lvl>
    <w:lvl w:ilvl="3">
      <w:start w:val="1"/>
      <w:numFmt w:val="bullet"/>
      <w:lvlText w:val=""/>
      <w:lvlJc w:val="start"/>
      <w:pPr>
        <w:tabs>
          <w:tab w:val="num" w:pos="0"/>
        </w:tabs>
        <w:ind w:start="2880" w:hanging="360"/>
      </w:pPr>
      <w:rPr>
        <w:rFonts w:ascii="Wingdings" w:hAnsi="Wingdings" w:cs="Wingdings" w:hint="default"/>
        <w:sz w:val="20"/>
      </w:rPr>
    </w:lvl>
    <w:lvl w:ilvl="4">
      <w:start w:val="1"/>
      <w:numFmt w:val="bullet"/>
      <w:lvlText w:val=""/>
      <w:lvlJc w:val="start"/>
      <w:pPr>
        <w:tabs>
          <w:tab w:val="num" w:pos="0"/>
        </w:tabs>
        <w:ind w:start="3600" w:hanging="360"/>
      </w:pPr>
      <w:rPr>
        <w:rFonts w:ascii="Wingdings" w:hAnsi="Wingdings" w:cs="Wingdings" w:hint="default"/>
        <w:sz w:val="20"/>
      </w:rPr>
    </w:lvl>
    <w:lvl w:ilvl="5">
      <w:start w:val="1"/>
      <w:numFmt w:val="bullet"/>
      <w:lvlText w:val=""/>
      <w:lvlJc w:val="start"/>
      <w:pPr>
        <w:tabs>
          <w:tab w:val="num" w:pos="0"/>
        </w:tabs>
        <w:ind w:start="4320" w:hanging="360"/>
      </w:pPr>
      <w:rPr>
        <w:rFonts w:ascii="Wingdings" w:hAnsi="Wingdings" w:cs="Wingdings" w:hint="default"/>
        <w:sz w:val="20"/>
      </w:rPr>
    </w:lvl>
    <w:lvl w:ilvl="6">
      <w:start w:val="1"/>
      <w:numFmt w:val="bullet"/>
      <w:lvlText w:val=""/>
      <w:lvlJc w:val="start"/>
      <w:pPr>
        <w:tabs>
          <w:tab w:val="num" w:pos="0"/>
        </w:tabs>
        <w:ind w:start="5040" w:hanging="360"/>
      </w:pPr>
      <w:rPr>
        <w:rFonts w:ascii="Wingdings" w:hAnsi="Wingdings" w:cs="Wingdings" w:hint="default"/>
        <w:sz w:val="20"/>
      </w:rPr>
    </w:lvl>
    <w:lvl w:ilvl="7">
      <w:start w:val="1"/>
      <w:numFmt w:val="bullet"/>
      <w:lvlText w:val=""/>
      <w:lvlJc w:val="start"/>
      <w:pPr>
        <w:tabs>
          <w:tab w:val="num" w:pos="0"/>
        </w:tabs>
        <w:ind w:start="5760" w:hanging="360"/>
      </w:pPr>
      <w:rPr>
        <w:rFonts w:ascii="Wingdings" w:hAnsi="Wingdings" w:cs="Wingdings" w:hint="default"/>
        <w:sz w:val="20"/>
      </w:rPr>
    </w:lvl>
    <w:lvl w:ilvl="8">
      <w:start w:val="1"/>
      <w:numFmt w:val="bullet"/>
      <w:lvlText w:val=""/>
      <w:lvlJc w:val="start"/>
      <w:pPr>
        <w:tabs>
          <w:tab w:val="num" w:pos="0"/>
        </w:tabs>
        <w:ind w:start="6480" w:hanging="360"/>
      </w:pPr>
      <w:rPr>
        <w:rFonts w:ascii="Wingdings" w:hAnsi="Wingdings" w:cs="Wingdings" w:hint="default"/>
        <w:sz w:val="20"/>
      </w:rPr>
    </w:lvl>
  </w:abstractNum>
  <w:abstractNum w:abstractNumId="13">
    <w:lvl w:ilvl="0">
      <w:start w:val="1"/>
      <w:numFmt w:val="bullet"/>
      <w:lvlText w:val=""/>
      <w:lvlJc w:val="start"/>
      <w:pPr>
        <w:tabs>
          <w:tab w:val="num" w:pos="0"/>
        </w:tabs>
        <w:ind w:start="720" w:hanging="360"/>
      </w:pPr>
      <w:rPr>
        <w:rFonts w:ascii="Symbol" w:hAnsi="Symbol" w:cs="Symbol" w:hint="default"/>
        <w:sz w:val="20"/>
      </w:rPr>
    </w:lvl>
    <w:lvl w:ilvl="1">
      <w:start w:val="1"/>
      <w:numFmt w:val="bullet"/>
      <w:lvlText w:val="o"/>
      <w:lvlJc w:val="start"/>
      <w:pPr>
        <w:tabs>
          <w:tab w:val="num" w:pos="0"/>
        </w:tabs>
        <w:ind w:start="1440" w:hanging="360"/>
      </w:pPr>
      <w:rPr>
        <w:rFonts w:ascii="Courier New" w:hAnsi="Courier New" w:cs="Courier New" w:hint="default"/>
        <w:sz w:val="20"/>
      </w:rPr>
    </w:lvl>
    <w:lvl w:ilvl="2">
      <w:start w:val="1"/>
      <w:numFmt w:val="bullet"/>
      <w:lvlText w:val=""/>
      <w:lvlJc w:val="start"/>
      <w:pPr>
        <w:tabs>
          <w:tab w:val="num" w:pos="0"/>
        </w:tabs>
        <w:ind w:start="2160" w:hanging="360"/>
      </w:pPr>
      <w:rPr>
        <w:rFonts w:ascii="Wingdings" w:hAnsi="Wingdings" w:cs="Wingdings" w:hint="default"/>
        <w:sz w:val="20"/>
      </w:rPr>
    </w:lvl>
    <w:lvl w:ilvl="3">
      <w:start w:val="1"/>
      <w:numFmt w:val="bullet"/>
      <w:lvlText w:val=""/>
      <w:lvlJc w:val="start"/>
      <w:pPr>
        <w:tabs>
          <w:tab w:val="num" w:pos="0"/>
        </w:tabs>
        <w:ind w:start="2880" w:hanging="360"/>
      </w:pPr>
      <w:rPr>
        <w:rFonts w:ascii="Wingdings" w:hAnsi="Wingdings" w:cs="Wingdings" w:hint="default"/>
        <w:sz w:val="20"/>
      </w:rPr>
    </w:lvl>
    <w:lvl w:ilvl="4">
      <w:start w:val="1"/>
      <w:numFmt w:val="bullet"/>
      <w:lvlText w:val=""/>
      <w:lvlJc w:val="start"/>
      <w:pPr>
        <w:tabs>
          <w:tab w:val="num" w:pos="0"/>
        </w:tabs>
        <w:ind w:start="3600" w:hanging="360"/>
      </w:pPr>
      <w:rPr>
        <w:rFonts w:ascii="Wingdings" w:hAnsi="Wingdings" w:cs="Wingdings" w:hint="default"/>
        <w:sz w:val="20"/>
      </w:rPr>
    </w:lvl>
    <w:lvl w:ilvl="5">
      <w:start w:val="1"/>
      <w:numFmt w:val="bullet"/>
      <w:lvlText w:val=""/>
      <w:lvlJc w:val="start"/>
      <w:pPr>
        <w:tabs>
          <w:tab w:val="num" w:pos="0"/>
        </w:tabs>
        <w:ind w:start="4320" w:hanging="360"/>
      </w:pPr>
      <w:rPr>
        <w:rFonts w:ascii="Wingdings" w:hAnsi="Wingdings" w:cs="Wingdings" w:hint="default"/>
        <w:sz w:val="20"/>
      </w:rPr>
    </w:lvl>
    <w:lvl w:ilvl="6">
      <w:start w:val="1"/>
      <w:numFmt w:val="bullet"/>
      <w:lvlText w:val=""/>
      <w:lvlJc w:val="start"/>
      <w:pPr>
        <w:tabs>
          <w:tab w:val="num" w:pos="0"/>
        </w:tabs>
        <w:ind w:start="5040" w:hanging="360"/>
      </w:pPr>
      <w:rPr>
        <w:rFonts w:ascii="Wingdings" w:hAnsi="Wingdings" w:cs="Wingdings" w:hint="default"/>
        <w:sz w:val="20"/>
      </w:rPr>
    </w:lvl>
    <w:lvl w:ilvl="7">
      <w:start w:val="1"/>
      <w:numFmt w:val="bullet"/>
      <w:lvlText w:val=""/>
      <w:lvlJc w:val="start"/>
      <w:pPr>
        <w:tabs>
          <w:tab w:val="num" w:pos="0"/>
        </w:tabs>
        <w:ind w:start="5760" w:hanging="360"/>
      </w:pPr>
      <w:rPr>
        <w:rFonts w:ascii="Wingdings" w:hAnsi="Wingdings" w:cs="Wingdings" w:hint="default"/>
        <w:sz w:val="20"/>
      </w:rPr>
    </w:lvl>
    <w:lvl w:ilvl="8">
      <w:start w:val="1"/>
      <w:numFmt w:val="bullet"/>
      <w:lvlText w:val=""/>
      <w:lvlJc w:val="start"/>
      <w:pPr>
        <w:tabs>
          <w:tab w:val="num" w:pos="0"/>
        </w:tabs>
        <w:ind w:start="6480" w:hanging="360"/>
      </w:pPr>
      <w:rPr>
        <w:rFonts w:ascii="Wingdings" w:hAnsi="Wingdings" w:cs="Wingdings" w:hint="default"/>
        <w:sz w:val="20"/>
      </w:rPr>
    </w:lvl>
  </w:abstractNum>
  <w:abstractNum w:abstractNumId="14">
    <w:lvl w:ilvl="0">
      <w:start w:val="1"/>
      <w:numFmt w:val="bullet"/>
      <w:lvlText w:val=""/>
      <w:lvlJc w:val="start"/>
      <w:pPr>
        <w:tabs>
          <w:tab w:val="num" w:pos="0"/>
        </w:tabs>
        <w:ind w:start="720" w:hanging="360"/>
      </w:pPr>
      <w:rPr>
        <w:rFonts w:ascii="Symbol" w:hAnsi="Symbol" w:cs="Symbol" w:hint="default"/>
        <w:sz w:val="20"/>
      </w:rPr>
    </w:lvl>
    <w:lvl w:ilvl="1">
      <w:start w:val="1"/>
      <w:numFmt w:val="bullet"/>
      <w:lvlText w:val="o"/>
      <w:lvlJc w:val="start"/>
      <w:pPr>
        <w:tabs>
          <w:tab w:val="num" w:pos="0"/>
        </w:tabs>
        <w:ind w:start="1440" w:hanging="360"/>
      </w:pPr>
      <w:rPr>
        <w:rFonts w:ascii="Courier New" w:hAnsi="Courier New" w:cs="Courier New" w:hint="default"/>
        <w:sz w:val="20"/>
      </w:rPr>
    </w:lvl>
    <w:lvl w:ilvl="2">
      <w:start w:val="1"/>
      <w:numFmt w:val="bullet"/>
      <w:lvlText w:val=""/>
      <w:lvlJc w:val="start"/>
      <w:pPr>
        <w:tabs>
          <w:tab w:val="num" w:pos="0"/>
        </w:tabs>
        <w:ind w:start="2160" w:hanging="360"/>
      </w:pPr>
      <w:rPr>
        <w:rFonts w:ascii="Wingdings" w:hAnsi="Wingdings" w:cs="Wingdings" w:hint="default"/>
        <w:sz w:val="20"/>
      </w:rPr>
    </w:lvl>
    <w:lvl w:ilvl="3">
      <w:start w:val="1"/>
      <w:numFmt w:val="bullet"/>
      <w:lvlText w:val=""/>
      <w:lvlJc w:val="start"/>
      <w:pPr>
        <w:tabs>
          <w:tab w:val="num" w:pos="0"/>
        </w:tabs>
        <w:ind w:start="2880" w:hanging="360"/>
      </w:pPr>
      <w:rPr>
        <w:rFonts w:ascii="Wingdings" w:hAnsi="Wingdings" w:cs="Wingdings" w:hint="default"/>
        <w:sz w:val="20"/>
      </w:rPr>
    </w:lvl>
    <w:lvl w:ilvl="4">
      <w:start w:val="1"/>
      <w:numFmt w:val="bullet"/>
      <w:lvlText w:val=""/>
      <w:lvlJc w:val="start"/>
      <w:pPr>
        <w:tabs>
          <w:tab w:val="num" w:pos="0"/>
        </w:tabs>
        <w:ind w:start="3600" w:hanging="360"/>
      </w:pPr>
      <w:rPr>
        <w:rFonts w:ascii="Wingdings" w:hAnsi="Wingdings" w:cs="Wingdings" w:hint="default"/>
        <w:sz w:val="20"/>
      </w:rPr>
    </w:lvl>
    <w:lvl w:ilvl="5">
      <w:start w:val="1"/>
      <w:numFmt w:val="bullet"/>
      <w:lvlText w:val=""/>
      <w:lvlJc w:val="start"/>
      <w:pPr>
        <w:tabs>
          <w:tab w:val="num" w:pos="0"/>
        </w:tabs>
        <w:ind w:start="4320" w:hanging="360"/>
      </w:pPr>
      <w:rPr>
        <w:rFonts w:ascii="Wingdings" w:hAnsi="Wingdings" w:cs="Wingdings" w:hint="default"/>
        <w:sz w:val="20"/>
      </w:rPr>
    </w:lvl>
    <w:lvl w:ilvl="6">
      <w:start w:val="1"/>
      <w:numFmt w:val="bullet"/>
      <w:lvlText w:val=""/>
      <w:lvlJc w:val="start"/>
      <w:pPr>
        <w:tabs>
          <w:tab w:val="num" w:pos="0"/>
        </w:tabs>
        <w:ind w:start="5040" w:hanging="360"/>
      </w:pPr>
      <w:rPr>
        <w:rFonts w:ascii="Wingdings" w:hAnsi="Wingdings" w:cs="Wingdings" w:hint="default"/>
        <w:sz w:val="20"/>
      </w:rPr>
    </w:lvl>
    <w:lvl w:ilvl="7">
      <w:start w:val="1"/>
      <w:numFmt w:val="bullet"/>
      <w:lvlText w:val=""/>
      <w:lvlJc w:val="start"/>
      <w:pPr>
        <w:tabs>
          <w:tab w:val="num" w:pos="0"/>
        </w:tabs>
        <w:ind w:start="5760" w:hanging="360"/>
      </w:pPr>
      <w:rPr>
        <w:rFonts w:ascii="Wingdings" w:hAnsi="Wingdings" w:cs="Wingdings" w:hint="default"/>
        <w:sz w:val="20"/>
      </w:rPr>
    </w:lvl>
    <w:lvl w:ilvl="8">
      <w:start w:val="1"/>
      <w:numFmt w:val="bullet"/>
      <w:lvlText w:val=""/>
      <w:lvlJc w:val="start"/>
      <w:pPr>
        <w:tabs>
          <w:tab w:val="num" w:pos="0"/>
        </w:tabs>
        <w:ind w:start="6480" w:hanging="360"/>
      </w:pPr>
      <w:rPr>
        <w:rFonts w:ascii="Wingdings" w:hAnsi="Wingdings" w:cs="Wingdings" w:hint="default"/>
        <w:sz w:val="20"/>
      </w:rPr>
    </w:lvl>
  </w:abstractNum>
  <w:abstractNum w:abstractNumId="15">
    <w:lvl w:ilvl="0">
      <w:start w:val="1"/>
      <w:numFmt w:val="bullet"/>
      <w:lvlText w:val=""/>
      <w:lvlJc w:val="start"/>
      <w:pPr>
        <w:tabs>
          <w:tab w:val="num" w:pos="0"/>
        </w:tabs>
        <w:ind w:start="720" w:hanging="360"/>
      </w:pPr>
      <w:rPr>
        <w:rFonts w:ascii="Symbol" w:hAnsi="Symbol" w:cs="Symbol" w:hint="default"/>
        <w:sz w:val="20"/>
      </w:rPr>
    </w:lvl>
    <w:lvl w:ilvl="1">
      <w:start w:val="1"/>
      <w:numFmt w:val="bullet"/>
      <w:lvlText w:val="o"/>
      <w:lvlJc w:val="start"/>
      <w:pPr>
        <w:tabs>
          <w:tab w:val="num" w:pos="0"/>
        </w:tabs>
        <w:ind w:start="1440" w:hanging="360"/>
      </w:pPr>
      <w:rPr>
        <w:rFonts w:ascii="Courier New" w:hAnsi="Courier New" w:cs="Courier New" w:hint="default"/>
        <w:sz w:val="20"/>
      </w:rPr>
    </w:lvl>
    <w:lvl w:ilvl="2">
      <w:start w:val="1"/>
      <w:numFmt w:val="bullet"/>
      <w:lvlText w:val=""/>
      <w:lvlJc w:val="start"/>
      <w:pPr>
        <w:tabs>
          <w:tab w:val="num" w:pos="0"/>
        </w:tabs>
        <w:ind w:start="2160" w:hanging="360"/>
      </w:pPr>
      <w:rPr>
        <w:rFonts w:ascii="Wingdings" w:hAnsi="Wingdings" w:cs="Wingdings" w:hint="default"/>
        <w:sz w:val="20"/>
      </w:rPr>
    </w:lvl>
    <w:lvl w:ilvl="3">
      <w:start w:val="1"/>
      <w:numFmt w:val="bullet"/>
      <w:lvlText w:val=""/>
      <w:lvlJc w:val="start"/>
      <w:pPr>
        <w:tabs>
          <w:tab w:val="num" w:pos="0"/>
        </w:tabs>
        <w:ind w:start="2880" w:hanging="360"/>
      </w:pPr>
      <w:rPr>
        <w:rFonts w:ascii="Wingdings" w:hAnsi="Wingdings" w:cs="Wingdings" w:hint="default"/>
        <w:sz w:val="20"/>
      </w:rPr>
    </w:lvl>
    <w:lvl w:ilvl="4">
      <w:start w:val="1"/>
      <w:numFmt w:val="bullet"/>
      <w:lvlText w:val=""/>
      <w:lvlJc w:val="start"/>
      <w:pPr>
        <w:tabs>
          <w:tab w:val="num" w:pos="0"/>
        </w:tabs>
        <w:ind w:start="3600" w:hanging="360"/>
      </w:pPr>
      <w:rPr>
        <w:rFonts w:ascii="Wingdings" w:hAnsi="Wingdings" w:cs="Wingdings" w:hint="default"/>
        <w:sz w:val="20"/>
      </w:rPr>
    </w:lvl>
    <w:lvl w:ilvl="5">
      <w:start w:val="1"/>
      <w:numFmt w:val="bullet"/>
      <w:lvlText w:val=""/>
      <w:lvlJc w:val="start"/>
      <w:pPr>
        <w:tabs>
          <w:tab w:val="num" w:pos="0"/>
        </w:tabs>
        <w:ind w:start="4320" w:hanging="360"/>
      </w:pPr>
      <w:rPr>
        <w:rFonts w:ascii="Wingdings" w:hAnsi="Wingdings" w:cs="Wingdings" w:hint="default"/>
        <w:sz w:val="20"/>
      </w:rPr>
    </w:lvl>
    <w:lvl w:ilvl="6">
      <w:start w:val="1"/>
      <w:numFmt w:val="bullet"/>
      <w:lvlText w:val=""/>
      <w:lvlJc w:val="start"/>
      <w:pPr>
        <w:tabs>
          <w:tab w:val="num" w:pos="0"/>
        </w:tabs>
        <w:ind w:start="5040" w:hanging="360"/>
      </w:pPr>
      <w:rPr>
        <w:rFonts w:ascii="Wingdings" w:hAnsi="Wingdings" w:cs="Wingdings" w:hint="default"/>
        <w:sz w:val="20"/>
      </w:rPr>
    </w:lvl>
    <w:lvl w:ilvl="7">
      <w:start w:val="1"/>
      <w:numFmt w:val="bullet"/>
      <w:lvlText w:val=""/>
      <w:lvlJc w:val="start"/>
      <w:pPr>
        <w:tabs>
          <w:tab w:val="num" w:pos="0"/>
        </w:tabs>
        <w:ind w:start="5760" w:hanging="360"/>
      </w:pPr>
      <w:rPr>
        <w:rFonts w:ascii="Wingdings" w:hAnsi="Wingdings" w:cs="Wingdings" w:hint="default"/>
        <w:sz w:val="20"/>
      </w:rPr>
    </w:lvl>
    <w:lvl w:ilvl="8">
      <w:start w:val="1"/>
      <w:numFmt w:val="bullet"/>
      <w:lvlText w:val=""/>
      <w:lvlJc w:val="start"/>
      <w:pPr>
        <w:tabs>
          <w:tab w:val="num" w:pos="0"/>
        </w:tabs>
        <w:ind w:start="6480" w:hanging="360"/>
      </w:pPr>
      <w:rPr>
        <w:rFonts w:ascii="Wingdings" w:hAnsi="Wingdings" w:cs="Wingdings" w:hint="default"/>
        <w:sz w:val="20"/>
      </w:rPr>
    </w:lvl>
  </w:abstractNum>
  <w:abstractNum w:abstractNumId="16">
    <w:lvl w:ilvl="0">
      <w:start w:val="1"/>
      <w:numFmt w:val="bullet"/>
      <w:lvlText w:val=""/>
      <w:lvlJc w:val="start"/>
      <w:pPr>
        <w:tabs>
          <w:tab w:val="num" w:pos="0"/>
        </w:tabs>
        <w:ind w:start="720" w:hanging="360"/>
      </w:pPr>
      <w:rPr>
        <w:rFonts w:ascii="Symbol" w:hAnsi="Symbol" w:cs="Symbol" w:hint="default"/>
        <w:sz w:val="20"/>
      </w:rPr>
    </w:lvl>
    <w:lvl w:ilvl="1">
      <w:start w:val="1"/>
      <w:numFmt w:val="bullet"/>
      <w:lvlText w:val="o"/>
      <w:lvlJc w:val="start"/>
      <w:pPr>
        <w:tabs>
          <w:tab w:val="num" w:pos="0"/>
        </w:tabs>
        <w:ind w:start="1440" w:hanging="360"/>
      </w:pPr>
      <w:rPr>
        <w:rFonts w:ascii="Courier New" w:hAnsi="Courier New" w:cs="Courier New" w:hint="default"/>
        <w:sz w:val="20"/>
      </w:rPr>
    </w:lvl>
    <w:lvl w:ilvl="2">
      <w:start w:val="1"/>
      <w:numFmt w:val="bullet"/>
      <w:lvlText w:val=""/>
      <w:lvlJc w:val="start"/>
      <w:pPr>
        <w:tabs>
          <w:tab w:val="num" w:pos="0"/>
        </w:tabs>
        <w:ind w:start="2160" w:hanging="360"/>
      </w:pPr>
      <w:rPr>
        <w:rFonts w:ascii="Wingdings" w:hAnsi="Wingdings" w:cs="Wingdings" w:hint="default"/>
        <w:sz w:val="20"/>
      </w:rPr>
    </w:lvl>
    <w:lvl w:ilvl="3">
      <w:start w:val="1"/>
      <w:numFmt w:val="bullet"/>
      <w:lvlText w:val=""/>
      <w:lvlJc w:val="start"/>
      <w:pPr>
        <w:tabs>
          <w:tab w:val="num" w:pos="0"/>
        </w:tabs>
        <w:ind w:start="2880" w:hanging="360"/>
      </w:pPr>
      <w:rPr>
        <w:rFonts w:ascii="Wingdings" w:hAnsi="Wingdings" w:cs="Wingdings" w:hint="default"/>
        <w:sz w:val="20"/>
      </w:rPr>
    </w:lvl>
    <w:lvl w:ilvl="4">
      <w:start w:val="1"/>
      <w:numFmt w:val="bullet"/>
      <w:lvlText w:val=""/>
      <w:lvlJc w:val="start"/>
      <w:pPr>
        <w:tabs>
          <w:tab w:val="num" w:pos="0"/>
        </w:tabs>
        <w:ind w:start="3600" w:hanging="360"/>
      </w:pPr>
      <w:rPr>
        <w:rFonts w:ascii="Wingdings" w:hAnsi="Wingdings" w:cs="Wingdings" w:hint="default"/>
        <w:sz w:val="20"/>
      </w:rPr>
    </w:lvl>
    <w:lvl w:ilvl="5">
      <w:start w:val="1"/>
      <w:numFmt w:val="bullet"/>
      <w:lvlText w:val=""/>
      <w:lvlJc w:val="start"/>
      <w:pPr>
        <w:tabs>
          <w:tab w:val="num" w:pos="0"/>
        </w:tabs>
        <w:ind w:start="4320" w:hanging="360"/>
      </w:pPr>
      <w:rPr>
        <w:rFonts w:ascii="Wingdings" w:hAnsi="Wingdings" w:cs="Wingdings" w:hint="default"/>
        <w:sz w:val="20"/>
      </w:rPr>
    </w:lvl>
    <w:lvl w:ilvl="6">
      <w:start w:val="1"/>
      <w:numFmt w:val="bullet"/>
      <w:lvlText w:val=""/>
      <w:lvlJc w:val="start"/>
      <w:pPr>
        <w:tabs>
          <w:tab w:val="num" w:pos="0"/>
        </w:tabs>
        <w:ind w:start="5040" w:hanging="360"/>
      </w:pPr>
      <w:rPr>
        <w:rFonts w:ascii="Wingdings" w:hAnsi="Wingdings" w:cs="Wingdings" w:hint="default"/>
        <w:sz w:val="20"/>
      </w:rPr>
    </w:lvl>
    <w:lvl w:ilvl="7">
      <w:start w:val="1"/>
      <w:numFmt w:val="bullet"/>
      <w:lvlText w:val=""/>
      <w:lvlJc w:val="start"/>
      <w:pPr>
        <w:tabs>
          <w:tab w:val="num" w:pos="0"/>
        </w:tabs>
        <w:ind w:start="5760" w:hanging="360"/>
      </w:pPr>
      <w:rPr>
        <w:rFonts w:ascii="Wingdings" w:hAnsi="Wingdings" w:cs="Wingdings" w:hint="default"/>
        <w:sz w:val="20"/>
      </w:rPr>
    </w:lvl>
    <w:lvl w:ilvl="8">
      <w:start w:val="1"/>
      <w:numFmt w:val="bullet"/>
      <w:lvlText w:val=""/>
      <w:lvlJc w:val="start"/>
      <w:pPr>
        <w:tabs>
          <w:tab w:val="num" w:pos="0"/>
        </w:tabs>
        <w:ind w:start="6480" w:hanging="360"/>
      </w:pPr>
      <w:rPr>
        <w:rFonts w:ascii="Wingdings" w:hAnsi="Wingdings" w:cs="Wingdings" w:hint="default"/>
        <w:sz w:val="20"/>
      </w:rPr>
    </w:lvl>
  </w:abstractNum>
  <w:abstractNum w:abstractNumId="17">
    <w:lvl w:ilvl="0">
      <w:start w:val="1"/>
      <w:numFmt w:val="bullet"/>
      <w:lvlText w:val=""/>
      <w:lvlJc w:val="start"/>
      <w:pPr>
        <w:tabs>
          <w:tab w:val="num" w:pos="0"/>
        </w:tabs>
        <w:ind w:start="720" w:hanging="360"/>
      </w:pPr>
      <w:rPr>
        <w:rFonts w:ascii="Symbol" w:hAnsi="Symbol" w:cs="Symbol" w:hint="default"/>
        <w:sz w:val="20"/>
      </w:rPr>
    </w:lvl>
    <w:lvl w:ilvl="1">
      <w:start w:val="1"/>
      <w:numFmt w:val="bullet"/>
      <w:lvlText w:val="o"/>
      <w:lvlJc w:val="start"/>
      <w:pPr>
        <w:tabs>
          <w:tab w:val="num" w:pos="0"/>
        </w:tabs>
        <w:ind w:start="1440" w:hanging="360"/>
      </w:pPr>
      <w:rPr>
        <w:rFonts w:ascii="Courier New" w:hAnsi="Courier New" w:cs="Courier New" w:hint="default"/>
        <w:sz w:val="20"/>
      </w:rPr>
    </w:lvl>
    <w:lvl w:ilvl="2">
      <w:start w:val="1"/>
      <w:numFmt w:val="bullet"/>
      <w:lvlText w:val=""/>
      <w:lvlJc w:val="start"/>
      <w:pPr>
        <w:tabs>
          <w:tab w:val="num" w:pos="0"/>
        </w:tabs>
        <w:ind w:start="2160" w:hanging="360"/>
      </w:pPr>
      <w:rPr>
        <w:rFonts w:ascii="Wingdings" w:hAnsi="Wingdings" w:cs="Wingdings" w:hint="default"/>
        <w:sz w:val="20"/>
      </w:rPr>
    </w:lvl>
    <w:lvl w:ilvl="3">
      <w:start w:val="1"/>
      <w:numFmt w:val="bullet"/>
      <w:lvlText w:val=""/>
      <w:lvlJc w:val="start"/>
      <w:pPr>
        <w:tabs>
          <w:tab w:val="num" w:pos="0"/>
        </w:tabs>
        <w:ind w:start="2880" w:hanging="360"/>
      </w:pPr>
      <w:rPr>
        <w:rFonts w:ascii="Wingdings" w:hAnsi="Wingdings" w:cs="Wingdings" w:hint="default"/>
        <w:sz w:val="20"/>
      </w:rPr>
    </w:lvl>
    <w:lvl w:ilvl="4">
      <w:start w:val="1"/>
      <w:numFmt w:val="bullet"/>
      <w:lvlText w:val=""/>
      <w:lvlJc w:val="start"/>
      <w:pPr>
        <w:tabs>
          <w:tab w:val="num" w:pos="0"/>
        </w:tabs>
        <w:ind w:start="3600" w:hanging="360"/>
      </w:pPr>
      <w:rPr>
        <w:rFonts w:ascii="Wingdings" w:hAnsi="Wingdings" w:cs="Wingdings" w:hint="default"/>
        <w:sz w:val="20"/>
      </w:rPr>
    </w:lvl>
    <w:lvl w:ilvl="5">
      <w:start w:val="1"/>
      <w:numFmt w:val="bullet"/>
      <w:lvlText w:val=""/>
      <w:lvlJc w:val="start"/>
      <w:pPr>
        <w:tabs>
          <w:tab w:val="num" w:pos="0"/>
        </w:tabs>
        <w:ind w:start="4320" w:hanging="360"/>
      </w:pPr>
      <w:rPr>
        <w:rFonts w:ascii="Wingdings" w:hAnsi="Wingdings" w:cs="Wingdings" w:hint="default"/>
        <w:sz w:val="20"/>
      </w:rPr>
    </w:lvl>
    <w:lvl w:ilvl="6">
      <w:start w:val="1"/>
      <w:numFmt w:val="bullet"/>
      <w:lvlText w:val=""/>
      <w:lvlJc w:val="start"/>
      <w:pPr>
        <w:tabs>
          <w:tab w:val="num" w:pos="0"/>
        </w:tabs>
        <w:ind w:start="5040" w:hanging="360"/>
      </w:pPr>
      <w:rPr>
        <w:rFonts w:ascii="Wingdings" w:hAnsi="Wingdings" w:cs="Wingdings" w:hint="default"/>
        <w:sz w:val="20"/>
      </w:rPr>
    </w:lvl>
    <w:lvl w:ilvl="7">
      <w:start w:val="1"/>
      <w:numFmt w:val="bullet"/>
      <w:lvlText w:val=""/>
      <w:lvlJc w:val="start"/>
      <w:pPr>
        <w:tabs>
          <w:tab w:val="num" w:pos="0"/>
        </w:tabs>
        <w:ind w:start="5760" w:hanging="360"/>
      </w:pPr>
      <w:rPr>
        <w:rFonts w:ascii="Wingdings" w:hAnsi="Wingdings" w:cs="Wingdings" w:hint="default"/>
        <w:sz w:val="20"/>
      </w:rPr>
    </w:lvl>
    <w:lvl w:ilvl="8">
      <w:start w:val="1"/>
      <w:numFmt w:val="bullet"/>
      <w:lvlText w:val=""/>
      <w:lvlJc w:val="start"/>
      <w:pPr>
        <w:tabs>
          <w:tab w:val="num" w:pos="0"/>
        </w:tabs>
        <w:ind w:start="6480" w:hanging="360"/>
      </w:pPr>
      <w:rPr>
        <w:rFonts w:ascii="Wingdings" w:hAnsi="Wingdings" w:cs="Wingdings" w:hint="default"/>
        <w:sz w:val="20"/>
      </w:rPr>
    </w:lvl>
  </w:abstractNum>
  <w:abstractNum w:abstractNumId="18">
    <w:lvl w:ilvl="0">
      <w:start w:val="1"/>
      <w:numFmt w:val="decimal"/>
      <w:lvlText w:val="%1."/>
      <w:lvlJc w:val="start"/>
      <w:pPr>
        <w:tabs>
          <w:tab w:val="num" w:pos="0"/>
        </w:tabs>
        <w:ind w:start="720" w:hanging="360"/>
      </w:pPr>
    </w:lvl>
    <w:lvl w:ilvl="1">
      <w:start w:val="1"/>
      <w:numFmt w:val="lowerLetter"/>
      <w:lvlText w:val="%2."/>
      <w:lvlJc w:val="start"/>
      <w:pPr>
        <w:tabs>
          <w:tab w:val="num" w:pos="0"/>
        </w:tabs>
        <w:ind w:start="1440" w:hanging="360"/>
      </w:pPr>
    </w:lvl>
    <w:lvl w:ilvl="2">
      <w:start w:val="1"/>
      <w:numFmt w:val="lowerRoman"/>
      <w:lvlText w:val="%3."/>
      <w:lvlJc w:val="end"/>
      <w:pPr>
        <w:tabs>
          <w:tab w:val="num" w:pos="0"/>
        </w:tabs>
        <w:ind w:start="2160" w:hanging="180"/>
      </w:pPr>
    </w:lvl>
    <w:lvl w:ilvl="3">
      <w:start w:val="1"/>
      <w:numFmt w:val="decimal"/>
      <w:lvlText w:val="%4."/>
      <w:lvlJc w:val="start"/>
      <w:pPr>
        <w:tabs>
          <w:tab w:val="num" w:pos="0"/>
        </w:tabs>
        <w:ind w:start="2880" w:hanging="360"/>
      </w:pPr>
    </w:lvl>
    <w:lvl w:ilvl="4">
      <w:start w:val="1"/>
      <w:numFmt w:val="lowerLetter"/>
      <w:lvlText w:val="%5."/>
      <w:lvlJc w:val="start"/>
      <w:pPr>
        <w:tabs>
          <w:tab w:val="num" w:pos="0"/>
        </w:tabs>
        <w:ind w:start="3600" w:hanging="360"/>
      </w:pPr>
    </w:lvl>
    <w:lvl w:ilvl="5">
      <w:start w:val="1"/>
      <w:numFmt w:val="lowerRoman"/>
      <w:lvlText w:val="%6."/>
      <w:lvlJc w:val="end"/>
      <w:pPr>
        <w:tabs>
          <w:tab w:val="num" w:pos="0"/>
        </w:tabs>
        <w:ind w:start="4320" w:hanging="180"/>
      </w:pPr>
    </w:lvl>
    <w:lvl w:ilvl="6">
      <w:start w:val="1"/>
      <w:numFmt w:val="decimal"/>
      <w:lvlText w:val="%7."/>
      <w:lvlJc w:val="start"/>
      <w:pPr>
        <w:tabs>
          <w:tab w:val="num" w:pos="0"/>
        </w:tabs>
        <w:ind w:start="5040" w:hanging="360"/>
      </w:pPr>
    </w:lvl>
    <w:lvl w:ilvl="7">
      <w:start w:val="1"/>
      <w:numFmt w:val="lowerLetter"/>
      <w:lvlText w:val="%8."/>
      <w:lvlJc w:val="start"/>
      <w:pPr>
        <w:tabs>
          <w:tab w:val="num" w:pos="0"/>
        </w:tabs>
        <w:ind w:start="5760" w:hanging="360"/>
      </w:pPr>
    </w:lvl>
    <w:lvl w:ilvl="8">
      <w:start w:val="1"/>
      <w:numFmt w:val="lowerRoman"/>
      <w:lvlText w:val="%9."/>
      <w:lvlJc w:val="end"/>
      <w:pPr>
        <w:tabs>
          <w:tab w:val="num" w:pos="0"/>
        </w:tabs>
        <w:ind w:start="6480" w:hanging="18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w="http://schemas.openxmlformats.org/wordprocessingml/2006/main">
  <w:zoom w:percent="100"/>
  <w:defaultTabStop w:val="720"/>
  <w:autoHyphenation w:val="true"/>
  <w:hyphenationZone w:val="0"/>
  <w:footnotePr>
    <w:numFmt w:val="decimal"/>
    <w:footnote w:id="0"/>
    <w:footnote w:id="1"/>
  </w:footnotePr>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Times New Roman"/>
        <w:kern w:val="2"/>
        <w:sz w:val="24"/>
        <w:szCs w:val="24"/>
        <w:lang w:val="en-US" w:eastAsia="en-US" w:bidi="ar-SA"/>
      </w:rPr>
    </w:rPrDefault>
    <w:pPrDefault>
      <w:pPr>
        <w:widowControl/>
        <w:suppressAutoHyphens w:val="false"/>
        <w:spacing w:lineRule="auto" w:line="276"/>
      </w:pPr>
    </w:pPrDefault>
  </w:docDefaults>
  <w:style w:type="paragraph" w:styleId="Normal">
    <w:name w:val="Normal"/>
    <w:qFormat/>
    <w:pPr>
      <w:keepNext w:val="false"/>
      <w:keepLines w:val="false"/>
      <w:pageBreakBefore w:val="false"/>
      <w:widowControl/>
      <w:pBdr/>
      <w:shd w:fill="auto" w:val="clear"/>
      <w:kinsoku w:val="true"/>
      <w:overflowPunct w:val="true"/>
      <w:autoSpaceDE w:val="true"/>
      <w:bidi w:val="0"/>
      <w:snapToGrid w:val="true"/>
      <w:spacing w:lineRule="auto" w:line="276" w:before="0" w:after="160"/>
      <w:jc w:val="start"/>
      <w:textAlignment w:val="auto"/>
    </w:pPr>
    <w:rPr>
      <w:rFonts w:ascii="Aptos" w:hAnsi="Aptos" w:eastAsia="Aptos" w:cs="Times New Roman"/>
      <w:b w:val="false"/>
      <w:bCs w:val="false"/>
      <w:i w:val="false"/>
      <w:iCs w:val="false"/>
      <w:caps w:val="false"/>
      <w:smallCaps w:val="false"/>
      <w:strike w:val="false"/>
      <w:dstrike w:val="false"/>
      <w:outline w:val="false"/>
      <w:emboss w:val="false"/>
      <w:imprint w:val="false"/>
      <w:color w:val="auto"/>
      <w:spacing w:val="0"/>
      <w:w w:val="100"/>
      <w:kern w:val="2"/>
      <w:position w:val="0"/>
      <w:sz w:val="24"/>
      <w:szCs w:val="24"/>
      <w:u w:val="none"/>
      <w:shd w:fill="auto" w:val="clear"/>
      <w:vertAlign w:val="baseline"/>
      <w:em w:val="none"/>
      <w:lang w:val="en-US" w:eastAsia="en-US" w:bidi="ar-SA"/>
    </w:rPr>
  </w:style>
  <w:style w:type="paragraph" w:styleId="Heading1">
    <w:name w:val="heading 1"/>
    <w:basedOn w:val="Normal1"/>
    <w:next w:val="Normal1"/>
    <w:qFormat/>
    <w:pPr>
      <w:keepNext w:val="true"/>
      <w:keepLines/>
      <w:numPr>
        <w:ilvl w:val="0"/>
        <w:numId w:val="1"/>
      </w:numPr>
      <w:suppressAutoHyphens w:val="true"/>
      <w:spacing w:before="360" w:after="80"/>
      <w:outlineLvl w:val="0"/>
    </w:pPr>
    <w:rPr>
      <w:rFonts w:ascii="Aptos Display" w:hAnsi="Aptos Display" w:eastAsia="Times New Roman" w:cs="Times New Roman"/>
      <w:color w:val="0F4761"/>
      <w:sz w:val="40"/>
      <w:szCs w:val="40"/>
    </w:rPr>
  </w:style>
  <w:style w:type="paragraph" w:styleId="Heading2">
    <w:name w:val="heading 2"/>
    <w:basedOn w:val="Normal1"/>
    <w:next w:val="Normal1"/>
    <w:qFormat/>
    <w:pPr>
      <w:keepNext w:val="true"/>
      <w:keepLines/>
      <w:numPr>
        <w:ilvl w:val="1"/>
        <w:numId w:val="1"/>
      </w:numPr>
      <w:suppressAutoHyphens w:val="true"/>
      <w:spacing w:before="160" w:after="80"/>
      <w:outlineLvl w:val="1"/>
    </w:pPr>
    <w:rPr>
      <w:rFonts w:ascii="Aptos Display" w:hAnsi="Aptos Display" w:eastAsia="Times New Roman" w:cs="Times New Roman"/>
      <w:color w:val="0F4761"/>
      <w:sz w:val="32"/>
      <w:szCs w:val="32"/>
    </w:rPr>
  </w:style>
  <w:style w:type="paragraph" w:styleId="Heading3">
    <w:name w:val="heading 3"/>
    <w:basedOn w:val="Normal1"/>
    <w:next w:val="Normal1"/>
    <w:qFormat/>
    <w:pPr>
      <w:keepNext w:val="true"/>
      <w:keepLines/>
      <w:numPr>
        <w:ilvl w:val="2"/>
        <w:numId w:val="1"/>
      </w:numPr>
      <w:suppressAutoHyphens w:val="true"/>
      <w:spacing w:before="160" w:after="80"/>
      <w:outlineLvl w:val="2"/>
    </w:pPr>
    <w:rPr>
      <w:rFonts w:eastAsia="Times New Roman" w:cs="Times New Roman"/>
      <w:color w:val="0F4761"/>
      <w:sz w:val="28"/>
      <w:szCs w:val="28"/>
    </w:rPr>
  </w:style>
  <w:style w:type="paragraph" w:styleId="Heading4">
    <w:name w:val="heading 4"/>
    <w:basedOn w:val="Normal1"/>
    <w:next w:val="Normal1"/>
    <w:qFormat/>
    <w:pPr>
      <w:keepNext w:val="true"/>
      <w:keepLines/>
      <w:numPr>
        <w:ilvl w:val="3"/>
        <w:numId w:val="1"/>
      </w:numPr>
      <w:suppressAutoHyphens w:val="true"/>
      <w:spacing w:before="80" w:after="40"/>
      <w:outlineLvl w:val="3"/>
    </w:pPr>
    <w:rPr>
      <w:rFonts w:eastAsia="Times New Roman" w:cs="Times New Roman"/>
      <w:i/>
      <w:iCs/>
      <w:color w:val="0F4761"/>
    </w:rPr>
  </w:style>
  <w:style w:type="paragraph" w:styleId="Heading5">
    <w:name w:val="heading 5"/>
    <w:basedOn w:val="Normal1"/>
    <w:next w:val="Normal1"/>
    <w:qFormat/>
    <w:pPr>
      <w:keepNext w:val="true"/>
      <w:keepLines/>
      <w:numPr>
        <w:ilvl w:val="4"/>
        <w:numId w:val="1"/>
      </w:numPr>
      <w:suppressAutoHyphens w:val="true"/>
      <w:spacing w:before="80" w:after="40"/>
      <w:outlineLvl w:val="4"/>
    </w:pPr>
    <w:rPr>
      <w:rFonts w:eastAsia="Times New Roman" w:cs="Times New Roman"/>
      <w:color w:val="0F4761"/>
    </w:rPr>
  </w:style>
  <w:style w:type="paragraph" w:styleId="Heading6">
    <w:name w:val="heading 6"/>
    <w:basedOn w:val="Normal1"/>
    <w:next w:val="Normal1"/>
    <w:qFormat/>
    <w:pPr>
      <w:keepNext w:val="true"/>
      <w:keepLines/>
      <w:numPr>
        <w:ilvl w:val="5"/>
        <w:numId w:val="1"/>
      </w:numPr>
      <w:suppressAutoHyphens w:val="true"/>
      <w:spacing w:before="40" w:after="160"/>
      <w:outlineLvl w:val="5"/>
    </w:pPr>
    <w:rPr>
      <w:rFonts w:eastAsia="Times New Roman" w:cs="Times New Roman"/>
      <w:i/>
      <w:iCs/>
      <w:color w:val="595959"/>
    </w:rPr>
  </w:style>
  <w:style w:type="paragraph" w:styleId="Heading7">
    <w:name w:val="heading 7"/>
    <w:basedOn w:val="Normal1"/>
    <w:next w:val="Normal1"/>
    <w:qFormat/>
    <w:pPr>
      <w:keepNext w:val="true"/>
      <w:keepLines/>
      <w:numPr>
        <w:ilvl w:val="6"/>
        <w:numId w:val="1"/>
      </w:numPr>
      <w:suppressAutoHyphens w:val="true"/>
      <w:spacing w:before="40" w:after="160"/>
      <w:outlineLvl w:val="6"/>
    </w:pPr>
    <w:rPr>
      <w:rFonts w:eastAsia="Times New Roman" w:cs="Times New Roman"/>
      <w:color w:val="595959"/>
    </w:rPr>
  </w:style>
  <w:style w:type="paragraph" w:styleId="Heading8">
    <w:name w:val="heading 8"/>
    <w:basedOn w:val="Normal1"/>
    <w:next w:val="Normal1"/>
    <w:qFormat/>
    <w:pPr>
      <w:keepNext w:val="true"/>
      <w:keepLines/>
      <w:numPr>
        <w:ilvl w:val="7"/>
        <w:numId w:val="1"/>
      </w:numPr>
      <w:suppressAutoHyphens w:val="true"/>
      <w:outlineLvl w:val="7"/>
    </w:pPr>
    <w:rPr>
      <w:rFonts w:eastAsia="Times New Roman" w:cs="Times New Roman"/>
      <w:i/>
      <w:iCs/>
      <w:color w:val="272727"/>
    </w:rPr>
  </w:style>
  <w:style w:type="paragraph" w:styleId="Heading9">
    <w:name w:val="heading 9"/>
    <w:basedOn w:val="Normal1"/>
    <w:next w:val="Normal1"/>
    <w:qFormat/>
    <w:pPr>
      <w:keepNext w:val="true"/>
      <w:keepLines/>
      <w:numPr>
        <w:ilvl w:val="8"/>
        <w:numId w:val="1"/>
      </w:numPr>
      <w:suppressAutoHyphens w:val="true"/>
      <w:outlineLvl w:val="8"/>
    </w:pPr>
    <w:rPr>
      <w:rFonts w:eastAsia="Times New Roman" w:cs="Times New Roman"/>
      <w:color w:val="272727"/>
    </w:rPr>
  </w:style>
  <w:style w:type="character" w:styleId="DefaultParagraphFont">
    <w:name w:val="Default Paragraph Font"/>
    <w:qFormat/>
    <w:rPr/>
  </w:style>
  <w:style w:type="character" w:styleId="Heading1Char">
    <w:name w:val="Heading 1 Char"/>
    <w:basedOn w:val="DefaultParagraphFont"/>
    <w:qFormat/>
    <w:rPr>
      <w:rFonts w:ascii="Aptos Display" w:hAnsi="Aptos Display" w:eastAsia="Times New Roman" w:cs="Times New Roman"/>
      <w:color w:val="0F4761"/>
      <w:sz w:val="40"/>
      <w:szCs w:val="40"/>
    </w:rPr>
  </w:style>
  <w:style w:type="character" w:styleId="Heading2Char">
    <w:name w:val="Heading 2 Char"/>
    <w:basedOn w:val="DefaultParagraphFont"/>
    <w:qFormat/>
    <w:rPr>
      <w:rFonts w:ascii="Aptos Display" w:hAnsi="Aptos Display" w:eastAsia="Times New Roman" w:cs="Times New Roman"/>
      <w:color w:val="0F4761"/>
      <w:sz w:val="32"/>
      <w:szCs w:val="32"/>
    </w:rPr>
  </w:style>
  <w:style w:type="character" w:styleId="Heading3Char">
    <w:name w:val="Heading 3 Char"/>
    <w:basedOn w:val="DefaultParagraphFont"/>
    <w:qFormat/>
    <w:rPr>
      <w:rFonts w:eastAsia="Times New Roman" w:cs="Times New Roman"/>
      <w:color w:val="0F4761"/>
      <w:sz w:val="28"/>
      <w:szCs w:val="28"/>
    </w:rPr>
  </w:style>
  <w:style w:type="character" w:styleId="Heading4Char">
    <w:name w:val="Heading 4 Char"/>
    <w:basedOn w:val="DefaultParagraphFont"/>
    <w:qFormat/>
    <w:rPr>
      <w:rFonts w:eastAsia="Times New Roman" w:cs="Times New Roman"/>
      <w:i/>
      <w:iCs/>
      <w:color w:val="0F4761"/>
    </w:rPr>
  </w:style>
  <w:style w:type="character" w:styleId="Heading5Char">
    <w:name w:val="Heading 5 Char"/>
    <w:basedOn w:val="DefaultParagraphFont"/>
    <w:qFormat/>
    <w:rPr>
      <w:rFonts w:eastAsia="Times New Roman" w:cs="Times New Roman"/>
      <w:color w:val="0F4761"/>
    </w:rPr>
  </w:style>
  <w:style w:type="character" w:styleId="Heading6Char">
    <w:name w:val="Heading 6 Char"/>
    <w:basedOn w:val="DefaultParagraphFont"/>
    <w:qFormat/>
    <w:rPr>
      <w:rFonts w:eastAsia="Times New Roman" w:cs="Times New Roman"/>
      <w:i/>
      <w:iCs/>
      <w:color w:val="595959"/>
    </w:rPr>
  </w:style>
  <w:style w:type="character" w:styleId="Heading7Char">
    <w:name w:val="Heading 7 Char"/>
    <w:basedOn w:val="DefaultParagraphFont"/>
    <w:qFormat/>
    <w:rPr>
      <w:rFonts w:eastAsia="Times New Roman" w:cs="Times New Roman"/>
      <w:color w:val="595959"/>
    </w:rPr>
  </w:style>
  <w:style w:type="character" w:styleId="Heading8Char">
    <w:name w:val="Heading 8 Char"/>
    <w:basedOn w:val="DefaultParagraphFont"/>
    <w:qFormat/>
    <w:rPr>
      <w:rFonts w:eastAsia="Times New Roman" w:cs="Times New Roman"/>
      <w:i/>
      <w:iCs/>
      <w:color w:val="272727"/>
    </w:rPr>
  </w:style>
  <w:style w:type="character" w:styleId="Heading9Char">
    <w:name w:val="Heading 9 Char"/>
    <w:basedOn w:val="DefaultParagraphFont"/>
    <w:qFormat/>
    <w:rPr>
      <w:rFonts w:eastAsia="Times New Roman" w:cs="Times New Roman"/>
      <w:color w:val="272727"/>
    </w:rPr>
  </w:style>
  <w:style w:type="character" w:styleId="TitleChar">
    <w:name w:val="Title Char"/>
    <w:basedOn w:val="DefaultParagraphFont"/>
    <w:qFormat/>
    <w:rPr>
      <w:rFonts w:ascii="Aptos Display" w:hAnsi="Aptos Display" w:eastAsia="Times New Roman" w:cs="Times New Roman"/>
      <w:spacing w:val="-10"/>
      <w:kern w:val="2"/>
      <w:sz w:val="56"/>
      <w:szCs w:val="56"/>
    </w:rPr>
  </w:style>
  <w:style w:type="character" w:styleId="SubtitleChar">
    <w:name w:val="Subtitle Char"/>
    <w:basedOn w:val="DefaultParagraphFont"/>
    <w:qFormat/>
    <w:rPr>
      <w:rFonts w:eastAsia="Times New Roman" w:cs="Times New Roman"/>
      <w:color w:val="595959"/>
      <w:spacing w:val="15"/>
      <w:sz w:val="28"/>
      <w:szCs w:val="28"/>
    </w:rPr>
  </w:style>
  <w:style w:type="character" w:styleId="QuoteChar">
    <w:name w:val="Quote Char"/>
    <w:basedOn w:val="DefaultParagraphFont"/>
    <w:qFormat/>
    <w:rPr>
      <w:i/>
      <w:iCs/>
      <w:color w:val="404040"/>
    </w:rPr>
  </w:style>
  <w:style w:type="character" w:styleId="IntenseEmphasis">
    <w:name w:val="Intense Emphasis"/>
    <w:basedOn w:val="DefaultParagraphFont"/>
    <w:qFormat/>
    <w:rPr>
      <w:i/>
      <w:iCs/>
      <w:color w:val="0F4761"/>
    </w:rPr>
  </w:style>
  <w:style w:type="character" w:styleId="IntenseQuoteChar">
    <w:name w:val="Intense Quote Char"/>
    <w:basedOn w:val="DefaultParagraphFont"/>
    <w:qFormat/>
    <w:rPr>
      <w:i/>
      <w:iCs/>
      <w:color w:val="0F4761"/>
    </w:rPr>
  </w:style>
  <w:style w:type="character" w:styleId="IntenseReference">
    <w:name w:val="Intense Reference"/>
    <w:basedOn w:val="DefaultParagraphFont"/>
    <w:qFormat/>
    <w:rPr>
      <w:b/>
      <w:bCs/>
      <w:smallCaps/>
      <w:color w:val="0F4761"/>
      <w:spacing w:val="5"/>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ommentTextChar">
    <w:name w:val="Comment Text Char"/>
    <w:basedOn w:val="DefaultParagraphFont"/>
    <w:qFormat/>
    <w:rPr>
      <w:rFonts w:ascii="Arial" w:hAnsi="Arial" w:eastAsia="Arial" w:cs="Arial"/>
      <w:kern w:val="0"/>
      <w:sz w:val="20"/>
      <w:szCs w:val="20"/>
      <w:lang w:val="en-GB"/>
    </w:rPr>
  </w:style>
  <w:style w:type="character" w:styleId="CommentReference">
    <w:name w:val="Comment Reference"/>
    <w:basedOn w:val="DefaultParagraphFont"/>
    <w:qFormat/>
    <w:rPr>
      <w:sz w:val="16"/>
      <w:szCs w:val="16"/>
    </w:rPr>
  </w:style>
  <w:style w:type="character" w:styleId="FootnoteTextChar">
    <w:name w:val="Footnote Text Char"/>
    <w:basedOn w:val="DefaultParagraphFont"/>
    <w:qFormat/>
    <w:rPr>
      <w:kern w:val="0"/>
      <w:sz w:val="20"/>
      <w:szCs w:val="25"/>
      <w:lang w:val="en-US" w:bidi="th-TH"/>
    </w:rPr>
  </w:style>
  <w:style w:type="character" w:styleId="FootnoteReference">
    <w:name w:val="footnote reference"/>
    <w:basedOn w:val="DefaultParagraphFont"/>
    <w:rPr>
      <w:vertAlign w:val="superscript"/>
    </w:rPr>
  </w:style>
  <w:style w:type="character" w:styleId="Hyperlink1">
    <w:name w:val="Hyperlink1"/>
    <w:basedOn w:val="DefaultParagraphFont"/>
    <w:qFormat/>
    <w:rPr>
      <w:color w:val="467886"/>
      <w:u w:val="single"/>
    </w:rPr>
  </w:style>
  <w:style w:type="character" w:styleId="ListParagraphChar">
    <w:name w:val="List Paragraph Char"/>
    <w:qFormat/>
    <w:rPr/>
  </w:style>
  <w:style w:type="character" w:styleId="CommentSubjectChar">
    <w:name w:val="Comment Subject Char"/>
    <w:basedOn w:val="CommentTextChar"/>
    <w:qFormat/>
    <w:rPr>
      <w:rFonts w:ascii="Arial" w:hAnsi="Arial" w:eastAsia="Arial" w:cs="Arial"/>
      <w:b/>
      <w:bCs/>
      <w:kern w:val="0"/>
      <w:sz w:val="20"/>
      <w:szCs w:val="20"/>
      <w:lang w:val="en-GB"/>
    </w:rPr>
  </w:style>
  <w:style w:type="character" w:styleId="WWCharLFO1LVL1">
    <w:name w:val="WW_CharLFO1LVL1"/>
    <w:qFormat/>
    <w:rPr>
      <w:sz w:val="20"/>
    </w:rPr>
  </w:style>
  <w:style w:type="character" w:styleId="WWCharLFO1LVL2">
    <w:name w:val="WW_CharLFO1LVL2"/>
    <w:qFormat/>
    <w:rPr>
      <w:rFonts w:ascii="Courier New" w:hAnsi="Courier New"/>
      <w:sz w:val="20"/>
    </w:rPr>
  </w:style>
  <w:style w:type="character" w:styleId="WWCharLFO1LVL3">
    <w:name w:val="WW_CharLFO1LVL3"/>
    <w:qFormat/>
    <w:rPr>
      <w:rFonts w:ascii="Wingdings" w:hAnsi="Wingdings"/>
      <w:sz w:val="20"/>
    </w:rPr>
  </w:style>
  <w:style w:type="character" w:styleId="WWCharLFO1LVL4">
    <w:name w:val="WW_CharLFO1LVL4"/>
    <w:qFormat/>
    <w:rPr>
      <w:rFonts w:ascii="Wingdings" w:hAnsi="Wingdings"/>
      <w:sz w:val="20"/>
    </w:rPr>
  </w:style>
  <w:style w:type="character" w:styleId="WWCharLFO1LVL5">
    <w:name w:val="WW_CharLFO1LVL5"/>
    <w:qFormat/>
    <w:rPr>
      <w:rFonts w:ascii="Wingdings" w:hAnsi="Wingdings"/>
      <w:sz w:val="20"/>
    </w:rPr>
  </w:style>
  <w:style w:type="character" w:styleId="WWCharLFO1LVL6">
    <w:name w:val="WW_CharLFO1LVL6"/>
    <w:qFormat/>
    <w:rPr>
      <w:rFonts w:ascii="Wingdings" w:hAnsi="Wingdings"/>
      <w:sz w:val="20"/>
    </w:rPr>
  </w:style>
  <w:style w:type="character" w:styleId="WWCharLFO1LVL7">
    <w:name w:val="WW_CharLFO1LVL7"/>
    <w:qFormat/>
    <w:rPr>
      <w:rFonts w:ascii="Wingdings" w:hAnsi="Wingdings"/>
      <w:sz w:val="20"/>
    </w:rPr>
  </w:style>
  <w:style w:type="character" w:styleId="WWCharLFO1LVL8">
    <w:name w:val="WW_CharLFO1LVL8"/>
    <w:qFormat/>
    <w:rPr>
      <w:rFonts w:ascii="Wingdings" w:hAnsi="Wingdings"/>
      <w:sz w:val="20"/>
    </w:rPr>
  </w:style>
  <w:style w:type="character" w:styleId="WWCharLFO1LVL9">
    <w:name w:val="WW_CharLFO1LVL9"/>
    <w:qFormat/>
    <w:rPr>
      <w:rFonts w:ascii="Wingdings" w:hAnsi="Wingdings"/>
      <w:sz w:val="20"/>
    </w:rPr>
  </w:style>
  <w:style w:type="character" w:styleId="WWCharLFO2LVL1">
    <w:name w:val="WW_CharLFO2LVL1"/>
    <w:qFormat/>
    <w:rPr>
      <w:rFonts w:ascii="Symbol" w:hAnsi="Symbol"/>
      <w:sz w:val="20"/>
    </w:rPr>
  </w:style>
  <w:style w:type="character" w:styleId="WWCharLFO2LVL2">
    <w:name w:val="WW_CharLFO2LVL2"/>
    <w:qFormat/>
    <w:rPr>
      <w:rFonts w:ascii="Courier New" w:hAnsi="Courier New"/>
      <w:sz w:val="20"/>
    </w:rPr>
  </w:style>
  <w:style w:type="character" w:styleId="WWCharLFO2LVL3">
    <w:name w:val="WW_CharLFO2LVL3"/>
    <w:qFormat/>
    <w:rPr>
      <w:rFonts w:ascii="Wingdings" w:hAnsi="Wingdings"/>
      <w:sz w:val="20"/>
    </w:rPr>
  </w:style>
  <w:style w:type="character" w:styleId="WWCharLFO2LVL4">
    <w:name w:val="WW_CharLFO2LVL4"/>
    <w:qFormat/>
    <w:rPr>
      <w:rFonts w:ascii="Wingdings" w:hAnsi="Wingdings"/>
      <w:sz w:val="20"/>
    </w:rPr>
  </w:style>
  <w:style w:type="character" w:styleId="WWCharLFO2LVL5">
    <w:name w:val="WW_CharLFO2LVL5"/>
    <w:qFormat/>
    <w:rPr>
      <w:rFonts w:ascii="Wingdings" w:hAnsi="Wingdings"/>
      <w:sz w:val="20"/>
    </w:rPr>
  </w:style>
  <w:style w:type="character" w:styleId="WWCharLFO2LVL6">
    <w:name w:val="WW_CharLFO2LVL6"/>
    <w:qFormat/>
    <w:rPr>
      <w:rFonts w:ascii="Wingdings" w:hAnsi="Wingdings"/>
      <w:sz w:val="20"/>
    </w:rPr>
  </w:style>
  <w:style w:type="character" w:styleId="WWCharLFO2LVL7">
    <w:name w:val="WW_CharLFO2LVL7"/>
    <w:qFormat/>
    <w:rPr>
      <w:rFonts w:ascii="Wingdings" w:hAnsi="Wingdings"/>
      <w:sz w:val="20"/>
    </w:rPr>
  </w:style>
  <w:style w:type="character" w:styleId="WWCharLFO2LVL8">
    <w:name w:val="WW_CharLFO2LVL8"/>
    <w:qFormat/>
    <w:rPr>
      <w:rFonts w:ascii="Wingdings" w:hAnsi="Wingdings"/>
      <w:sz w:val="20"/>
    </w:rPr>
  </w:style>
  <w:style w:type="character" w:styleId="WWCharLFO2LVL9">
    <w:name w:val="WW_CharLFO2LVL9"/>
    <w:qFormat/>
    <w:rPr>
      <w:rFonts w:ascii="Wingdings" w:hAnsi="Wingdings"/>
      <w:sz w:val="20"/>
    </w:rPr>
  </w:style>
  <w:style w:type="character" w:styleId="WWCharLFO3LVL1">
    <w:name w:val="WW_CharLFO3LVL1"/>
    <w:qFormat/>
    <w:rPr>
      <w:rFonts w:ascii="Symbol" w:hAnsi="Symbol"/>
      <w:sz w:val="20"/>
    </w:rPr>
  </w:style>
  <w:style w:type="character" w:styleId="WWCharLFO3LVL2">
    <w:name w:val="WW_CharLFO3LVL2"/>
    <w:qFormat/>
    <w:rPr>
      <w:rFonts w:ascii="Courier New" w:hAnsi="Courier New"/>
      <w:sz w:val="20"/>
    </w:rPr>
  </w:style>
  <w:style w:type="character" w:styleId="WWCharLFO3LVL3">
    <w:name w:val="WW_CharLFO3LVL3"/>
    <w:qFormat/>
    <w:rPr>
      <w:rFonts w:ascii="Wingdings" w:hAnsi="Wingdings"/>
      <w:sz w:val="20"/>
    </w:rPr>
  </w:style>
  <w:style w:type="character" w:styleId="WWCharLFO3LVL4">
    <w:name w:val="WW_CharLFO3LVL4"/>
    <w:qFormat/>
    <w:rPr>
      <w:rFonts w:ascii="Wingdings" w:hAnsi="Wingdings"/>
      <w:sz w:val="20"/>
    </w:rPr>
  </w:style>
  <w:style w:type="character" w:styleId="WWCharLFO3LVL5">
    <w:name w:val="WW_CharLFO3LVL5"/>
    <w:qFormat/>
    <w:rPr>
      <w:rFonts w:ascii="Wingdings" w:hAnsi="Wingdings"/>
      <w:sz w:val="20"/>
    </w:rPr>
  </w:style>
  <w:style w:type="character" w:styleId="WWCharLFO3LVL6">
    <w:name w:val="WW_CharLFO3LVL6"/>
    <w:qFormat/>
    <w:rPr>
      <w:rFonts w:ascii="Wingdings" w:hAnsi="Wingdings"/>
      <w:sz w:val="20"/>
    </w:rPr>
  </w:style>
  <w:style w:type="character" w:styleId="WWCharLFO3LVL7">
    <w:name w:val="WW_CharLFO3LVL7"/>
    <w:qFormat/>
    <w:rPr>
      <w:rFonts w:ascii="Wingdings" w:hAnsi="Wingdings"/>
      <w:sz w:val="20"/>
    </w:rPr>
  </w:style>
  <w:style w:type="character" w:styleId="WWCharLFO3LVL8">
    <w:name w:val="WW_CharLFO3LVL8"/>
    <w:qFormat/>
    <w:rPr>
      <w:rFonts w:ascii="Wingdings" w:hAnsi="Wingdings"/>
      <w:sz w:val="20"/>
    </w:rPr>
  </w:style>
  <w:style w:type="character" w:styleId="WWCharLFO3LVL9">
    <w:name w:val="WW_CharLFO3LVL9"/>
    <w:qFormat/>
    <w:rPr>
      <w:rFonts w:ascii="Wingdings" w:hAnsi="Wingdings"/>
      <w:sz w:val="20"/>
    </w:rPr>
  </w:style>
  <w:style w:type="character" w:styleId="WWCharLFO4LVL1">
    <w:name w:val="WW_CharLFO4LVL1"/>
    <w:qFormat/>
    <w:rPr>
      <w:rFonts w:ascii="Symbol" w:hAnsi="Symbol"/>
      <w:sz w:val="20"/>
    </w:rPr>
  </w:style>
  <w:style w:type="character" w:styleId="WWCharLFO4LVL2">
    <w:name w:val="WW_CharLFO4LVL2"/>
    <w:qFormat/>
    <w:rPr>
      <w:rFonts w:ascii="Courier New" w:hAnsi="Courier New"/>
      <w:sz w:val="20"/>
    </w:rPr>
  </w:style>
  <w:style w:type="character" w:styleId="WWCharLFO4LVL3">
    <w:name w:val="WW_CharLFO4LVL3"/>
    <w:qFormat/>
    <w:rPr>
      <w:rFonts w:ascii="Wingdings" w:hAnsi="Wingdings"/>
      <w:sz w:val="20"/>
    </w:rPr>
  </w:style>
  <w:style w:type="character" w:styleId="WWCharLFO4LVL4">
    <w:name w:val="WW_CharLFO4LVL4"/>
    <w:qFormat/>
    <w:rPr>
      <w:rFonts w:ascii="Wingdings" w:hAnsi="Wingdings"/>
      <w:sz w:val="20"/>
    </w:rPr>
  </w:style>
  <w:style w:type="character" w:styleId="WWCharLFO4LVL5">
    <w:name w:val="WW_CharLFO4LVL5"/>
    <w:qFormat/>
    <w:rPr>
      <w:rFonts w:ascii="Wingdings" w:hAnsi="Wingdings"/>
      <w:sz w:val="20"/>
    </w:rPr>
  </w:style>
  <w:style w:type="character" w:styleId="WWCharLFO4LVL6">
    <w:name w:val="WW_CharLFO4LVL6"/>
    <w:qFormat/>
    <w:rPr>
      <w:rFonts w:ascii="Wingdings" w:hAnsi="Wingdings"/>
      <w:sz w:val="20"/>
    </w:rPr>
  </w:style>
  <w:style w:type="character" w:styleId="WWCharLFO4LVL7">
    <w:name w:val="WW_CharLFO4LVL7"/>
    <w:qFormat/>
    <w:rPr>
      <w:rFonts w:ascii="Wingdings" w:hAnsi="Wingdings"/>
      <w:sz w:val="20"/>
    </w:rPr>
  </w:style>
  <w:style w:type="character" w:styleId="WWCharLFO4LVL8">
    <w:name w:val="WW_CharLFO4LVL8"/>
    <w:qFormat/>
    <w:rPr>
      <w:rFonts w:ascii="Wingdings" w:hAnsi="Wingdings"/>
      <w:sz w:val="20"/>
    </w:rPr>
  </w:style>
  <w:style w:type="character" w:styleId="WWCharLFO4LVL9">
    <w:name w:val="WW_CharLFO4LVL9"/>
    <w:qFormat/>
    <w:rPr>
      <w:rFonts w:ascii="Wingdings" w:hAnsi="Wingdings"/>
      <w:sz w:val="20"/>
    </w:rPr>
  </w:style>
  <w:style w:type="character" w:styleId="WWCharLFO5LVL1">
    <w:name w:val="WW_CharLFO5LVL1"/>
    <w:qFormat/>
    <w:rPr>
      <w:rFonts w:ascii="Symbol" w:hAnsi="Symbol"/>
      <w:sz w:val="20"/>
    </w:rPr>
  </w:style>
  <w:style w:type="character" w:styleId="WWCharLFO5LVL2">
    <w:name w:val="WW_CharLFO5LVL2"/>
    <w:qFormat/>
    <w:rPr>
      <w:rFonts w:ascii="Courier New" w:hAnsi="Courier New"/>
      <w:sz w:val="20"/>
    </w:rPr>
  </w:style>
  <w:style w:type="character" w:styleId="WWCharLFO5LVL3">
    <w:name w:val="WW_CharLFO5LVL3"/>
    <w:qFormat/>
    <w:rPr>
      <w:rFonts w:ascii="Wingdings" w:hAnsi="Wingdings"/>
      <w:sz w:val="20"/>
    </w:rPr>
  </w:style>
  <w:style w:type="character" w:styleId="WWCharLFO5LVL4">
    <w:name w:val="WW_CharLFO5LVL4"/>
    <w:qFormat/>
    <w:rPr>
      <w:rFonts w:ascii="Wingdings" w:hAnsi="Wingdings"/>
      <w:sz w:val="20"/>
    </w:rPr>
  </w:style>
  <w:style w:type="character" w:styleId="WWCharLFO5LVL5">
    <w:name w:val="WW_CharLFO5LVL5"/>
    <w:qFormat/>
    <w:rPr>
      <w:rFonts w:ascii="Wingdings" w:hAnsi="Wingdings"/>
      <w:sz w:val="20"/>
    </w:rPr>
  </w:style>
  <w:style w:type="character" w:styleId="WWCharLFO5LVL6">
    <w:name w:val="WW_CharLFO5LVL6"/>
    <w:qFormat/>
    <w:rPr>
      <w:rFonts w:ascii="Wingdings" w:hAnsi="Wingdings"/>
      <w:sz w:val="20"/>
    </w:rPr>
  </w:style>
  <w:style w:type="character" w:styleId="WWCharLFO5LVL7">
    <w:name w:val="WW_CharLFO5LVL7"/>
    <w:qFormat/>
    <w:rPr>
      <w:rFonts w:ascii="Wingdings" w:hAnsi="Wingdings"/>
      <w:sz w:val="20"/>
    </w:rPr>
  </w:style>
  <w:style w:type="character" w:styleId="WWCharLFO5LVL8">
    <w:name w:val="WW_CharLFO5LVL8"/>
    <w:qFormat/>
    <w:rPr>
      <w:rFonts w:ascii="Wingdings" w:hAnsi="Wingdings"/>
      <w:sz w:val="20"/>
    </w:rPr>
  </w:style>
  <w:style w:type="character" w:styleId="WWCharLFO5LVL9">
    <w:name w:val="WW_CharLFO5LVL9"/>
    <w:qFormat/>
    <w:rPr>
      <w:rFonts w:ascii="Wingdings" w:hAnsi="Wingdings"/>
      <w:sz w:val="20"/>
    </w:rPr>
  </w:style>
  <w:style w:type="character" w:styleId="WWCharLFO6LVL1">
    <w:name w:val="WW_CharLFO6LVL1"/>
    <w:qFormat/>
    <w:rPr>
      <w:rFonts w:ascii="Symbol" w:hAnsi="Symbol"/>
      <w:sz w:val="20"/>
    </w:rPr>
  </w:style>
  <w:style w:type="character" w:styleId="WWCharLFO6LVL2">
    <w:name w:val="WW_CharLFO6LVL2"/>
    <w:qFormat/>
    <w:rPr>
      <w:rFonts w:ascii="Courier New" w:hAnsi="Courier New"/>
      <w:sz w:val="20"/>
    </w:rPr>
  </w:style>
  <w:style w:type="character" w:styleId="WWCharLFO6LVL3">
    <w:name w:val="WW_CharLFO6LVL3"/>
    <w:qFormat/>
    <w:rPr>
      <w:rFonts w:ascii="Wingdings" w:hAnsi="Wingdings"/>
      <w:sz w:val="20"/>
    </w:rPr>
  </w:style>
  <w:style w:type="character" w:styleId="WWCharLFO6LVL4">
    <w:name w:val="WW_CharLFO6LVL4"/>
    <w:qFormat/>
    <w:rPr>
      <w:rFonts w:ascii="Wingdings" w:hAnsi="Wingdings"/>
      <w:sz w:val="20"/>
    </w:rPr>
  </w:style>
  <w:style w:type="character" w:styleId="WWCharLFO6LVL5">
    <w:name w:val="WW_CharLFO6LVL5"/>
    <w:qFormat/>
    <w:rPr>
      <w:rFonts w:ascii="Wingdings" w:hAnsi="Wingdings"/>
      <w:sz w:val="20"/>
    </w:rPr>
  </w:style>
  <w:style w:type="character" w:styleId="WWCharLFO6LVL6">
    <w:name w:val="WW_CharLFO6LVL6"/>
    <w:qFormat/>
    <w:rPr>
      <w:rFonts w:ascii="Wingdings" w:hAnsi="Wingdings"/>
      <w:sz w:val="20"/>
    </w:rPr>
  </w:style>
  <w:style w:type="character" w:styleId="WWCharLFO6LVL7">
    <w:name w:val="WW_CharLFO6LVL7"/>
    <w:qFormat/>
    <w:rPr>
      <w:rFonts w:ascii="Wingdings" w:hAnsi="Wingdings"/>
      <w:sz w:val="20"/>
    </w:rPr>
  </w:style>
  <w:style w:type="character" w:styleId="WWCharLFO6LVL8">
    <w:name w:val="WW_CharLFO6LVL8"/>
    <w:qFormat/>
    <w:rPr>
      <w:rFonts w:ascii="Wingdings" w:hAnsi="Wingdings"/>
      <w:sz w:val="20"/>
    </w:rPr>
  </w:style>
  <w:style w:type="character" w:styleId="WWCharLFO6LVL9">
    <w:name w:val="WW_CharLFO6LVL9"/>
    <w:qFormat/>
    <w:rPr>
      <w:rFonts w:ascii="Wingdings" w:hAnsi="Wingdings"/>
      <w:sz w:val="20"/>
    </w:rPr>
  </w:style>
  <w:style w:type="character" w:styleId="WWCharLFO9LVL1">
    <w:name w:val="WW_CharLFO9LVL1"/>
    <w:qFormat/>
    <w:rPr>
      <w:rFonts w:ascii="Symbol" w:hAnsi="Symbol"/>
      <w:sz w:val="20"/>
    </w:rPr>
  </w:style>
  <w:style w:type="character" w:styleId="WWCharLFO9LVL2">
    <w:name w:val="WW_CharLFO9LVL2"/>
    <w:qFormat/>
    <w:rPr>
      <w:rFonts w:ascii="Courier New" w:hAnsi="Courier New"/>
      <w:sz w:val="20"/>
    </w:rPr>
  </w:style>
  <w:style w:type="character" w:styleId="WWCharLFO9LVL3">
    <w:name w:val="WW_CharLFO9LVL3"/>
    <w:qFormat/>
    <w:rPr>
      <w:rFonts w:ascii="Wingdings" w:hAnsi="Wingdings"/>
      <w:sz w:val="20"/>
    </w:rPr>
  </w:style>
  <w:style w:type="character" w:styleId="WWCharLFO9LVL4">
    <w:name w:val="WW_CharLFO9LVL4"/>
    <w:qFormat/>
    <w:rPr>
      <w:rFonts w:ascii="Wingdings" w:hAnsi="Wingdings"/>
      <w:sz w:val="20"/>
    </w:rPr>
  </w:style>
  <w:style w:type="character" w:styleId="WWCharLFO9LVL5">
    <w:name w:val="WW_CharLFO9LVL5"/>
    <w:qFormat/>
    <w:rPr>
      <w:rFonts w:ascii="Wingdings" w:hAnsi="Wingdings"/>
      <w:sz w:val="20"/>
    </w:rPr>
  </w:style>
  <w:style w:type="character" w:styleId="WWCharLFO9LVL6">
    <w:name w:val="WW_CharLFO9LVL6"/>
    <w:qFormat/>
    <w:rPr>
      <w:rFonts w:ascii="Wingdings" w:hAnsi="Wingdings"/>
      <w:sz w:val="20"/>
    </w:rPr>
  </w:style>
  <w:style w:type="character" w:styleId="WWCharLFO9LVL7">
    <w:name w:val="WW_CharLFO9LVL7"/>
    <w:qFormat/>
    <w:rPr>
      <w:rFonts w:ascii="Wingdings" w:hAnsi="Wingdings"/>
      <w:sz w:val="20"/>
    </w:rPr>
  </w:style>
  <w:style w:type="character" w:styleId="WWCharLFO9LVL8">
    <w:name w:val="WW_CharLFO9LVL8"/>
    <w:qFormat/>
    <w:rPr>
      <w:rFonts w:ascii="Wingdings" w:hAnsi="Wingdings"/>
      <w:sz w:val="20"/>
    </w:rPr>
  </w:style>
  <w:style w:type="character" w:styleId="WWCharLFO9LVL9">
    <w:name w:val="WW_CharLFO9LVL9"/>
    <w:qFormat/>
    <w:rPr>
      <w:rFonts w:ascii="Wingdings" w:hAnsi="Wingdings"/>
      <w:sz w:val="20"/>
    </w:rPr>
  </w:style>
  <w:style w:type="character" w:styleId="WWCharLFO10LVL1">
    <w:name w:val="WW_CharLFO10LVL1"/>
    <w:qFormat/>
    <w:rPr>
      <w:rFonts w:ascii="Symbol" w:hAnsi="Symbol"/>
      <w:sz w:val="20"/>
    </w:rPr>
  </w:style>
  <w:style w:type="character" w:styleId="WWCharLFO10LVL2">
    <w:name w:val="WW_CharLFO10LVL2"/>
    <w:qFormat/>
    <w:rPr>
      <w:rFonts w:ascii="Courier New" w:hAnsi="Courier New"/>
      <w:sz w:val="20"/>
    </w:rPr>
  </w:style>
  <w:style w:type="character" w:styleId="WWCharLFO10LVL3">
    <w:name w:val="WW_CharLFO10LVL3"/>
    <w:qFormat/>
    <w:rPr>
      <w:rFonts w:ascii="Wingdings" w:hAnsi="Wingdings"/>
      <w:sz w:val="20"/>
    </w:rPr>
  </w:style>
  <w:style w:type="character" w:styleId="WWCharLFO10LVL4">
    <w:name w:val="WW_CharLFO10LVL4"/>
    <w:qFormat/>
    <w:rPr>
      <w:rFonts w:ascii="Wingdings" w:hAnsi="Wingdings"/>
      <w:sz w:val="20"/>
    </w:rPr>
  </w:style>
  <w:style w:type="character" w:styleId="WWCharLFO10LVL5">
    <w:name w:val="WW_CharLFO10LVL5"/>
    <w:qFormat/>
    <w:rPr>
      <w:rFonts w:ascii="Wingdings" w:hAnsi="Wingdings"/>
      <w:sz w:val="20"/>
    </w:rPr>
  </w:style>
  <w:style w:type="character" w:styleId="WWCharLFO10LVL6">
    <w:name w:val="WW_CharLFO10LVL6"/>
    <w:qFormat/>
    <w:rPr>
      <w:rFonts w:ascii="Wingdings" w:hAnsi="Wingdings"/>
      <w:sz w:val="20"/>
    </w:rPr>
  </w:style>
  <w:style w:type="character" w:styleId="WWCharLFO10LVL7">
    <w:name w:val="WW_CharLFO10LVL7"/>
    <w:qFormat/>
    <w:rPr>
      <w:rFonts w:ascii="Wingdings" w:hAnsi="Wingdings"/>
      <w:sz w:val="20"/>
    </w:rPr>
  </w:style>
  <w:style w:type="character" w:styleId="WWCharLFO10LVL8">
    <w:name w:val="WW_CharLFO10LVL8"/>
    <w:qFormat/>
    <w:rPr>
      <w:rFonts w:ascii="Wingdings" w:hAnsi="Wingdings"/>
      <w:sz w:val="20"/>
    </w:rPr>
  </w:style>
  <w:style w:type="character" w:styleId="WWCharLFO10LVL9">
    <w:name w:val="WW_CharLFO10LVL9"/>
    <w:qFormat/>
    <w:rPr>
      <w:rFonts w:ascii="Wingdings" w:hAnsi="Wingdings"/>
      <w:sz w:val="20"/>
    </w:rPr>
  </w:style>
  <w:style w:type="character" w:styleId="WWCharLFO11LVL1">
    <w:name w:val="WW_CharLFO11LVL1"/>
    <w:qFormat/>
    <w:rPr>
      <w:rFonts w:ascii="Symbol" w:hAnsi="Symbol"/>
      <w:sz w:val="20"/>
    </w:rPr>
  </w:style>
  <w:style w:type="character" w:styleId="WWCharLFO11LVL2">
    <w:name w:val="WW_CharLFO11LVL2"/>
    <w:qFormat/>
    <w:rPr>
      <w:rFonts w:ascii="Courier New" w:hAnsi="Courier New"/>
      <w:sz w:val="20"/>
    </w:rPr>
  </w:style>
  <w:style w:type="character" w:styleId="WWCharLFO11LVL3">
    <w:name w:val="WW_CharLFO11LVL3"/>
    <w:qFormat/>
    <w:rPr>
      <w:rFonts w:ascii="Wingdings" w:hAnsi="Wingdings"/>
      <w:sz w:val="20"/>
    </w:rPr>
  </w:style>
  <w:style w:type="character" w:styleId="WWCharLFO11LVL4">
    <w:name w:val="WW_CharLFO11LVL4"/>
    <w:qFormat/>
    <w:rPr>
      <w:rFonts w:ascii="Wingdings" w:hAnsi="Wingdings"/>
      <w:sz w:val="20"/>
    </w:rPr>
  </w:style>
  <w:style w:type="character" w:styleId="WWCharLFO11LVL5">
    <w:name w:val="WW_CharLFO11LVL5"/>
    <w:qFormat/>
    <w:rPr>
      <w:rFonts w:ascii="Wingdings" w:hAnsi="Wingdings"/>
      <w:sz w:val="20"/>
    </w:rPr>
  </w:style>
  <w:style w:type="character" w:styleId="WWCharLFO11LVL6">
    <w:name w:val="WW_CharLFO11LVL6"/>
    <w:qFormat/>
    <w:rPr>
      <w:rFonts w:ascii="Wingdings" w:hAnsi="Wingdings"/>
      <w:sz w:val="20"/>
    </w:rPr>
  </w:style>
  <w:style w:type="character" w:styleId="WWCharLFO11LVL7">
    <w:name w:val="WW_CharLFO11LVL7"/>
    <w:qFormat/>
    <w:rPr>
      <w:rFonts w:ascii="Wingdings" w:hAnsi="Wingdings"/>
      <w:sz w:val="20"/>
    </w:rPr>
  </w:style>
  <w:style w:type="character" w:styleId="WWCharLFO11LVL8">
    <w:name w:val="WW_CharLFO11LVL8"/>
    <w:qFormat/>
    <w:rPr>
      <w:rFonts w:ascii="Wingdings" w:hAnsi="Wingdings"/>
      <w:sz w:val="20"/>
    </w:rPr>
  </w:style>
  <w:style w:type="character" w:styleId="WWCharLFO11LVL9">
    <w:name w:val="WW_CharLFO11LVL9"/>
    <w:qFormat/>
    <w:rPr>
      <w:rFonts w:ascii="Wingdings" w:hAnsi="Wingdings"/>
      <w:sz w:val="20"/>
    </w:rPr>
  </w:style>
  <w:style w:type="character" w:styleId="WWCharLFO12LVL1">
    <w:name w:val="WW_CharLFO12LVL1"/>
    <w:qFormat/>
    <w:rPr>
      <w:rFonts w:ascii="Symbol" w:hAnsi="Symbol"/>
      <w:sz w:val="20"/>
    </w:rPr>
  </w:style>
  <w:style w:type="character" w:styleId="WWCharLFO12LVL2">
    <w:name w:val="WW_CharLFO12LVL2"/>
    <w:qFormat/>
    <w:rPr>
      <w:rFonts w:ascii="Courier New" w:hAnsi="Courier New"/>
      <w:sz w:val="20"/>
    </w:rPr>
  </w:style>
  <w:style w:type="character" w:styleId="WWCharLFO12LVL3">
    <w:name w:val="WW_CharLFO12LVL3"/>
    <w:qFormat/>
    <w:rPr>
      <w:rFonts w:ascii="Wingdings" w:hAnsi="Wingdings"/>
      <w:sz w:val="20"/>
    </w:rPr>
  </w:style>
  <w:style w:type="character" w:styleId="WWCharLFO12LVL4">
    <w:name w:val="WW_CharLFO12LVL4"/>
    <w:qFormat/>
    <w:rPr>
      <w:rFonts w:ascii="Wingdings" w:hAnsi="Wingdings"/>
      <w:sz w:val="20"/>
    </w:rPr>
  </w:style>
  <w:style w:type="character" w:styleId="WWCharLFO12LVL5">
    <w:name w:val="WW_CharLFO12LVL5"/>
    <w:qFormat/>
    <w:rPr>
      <w:rFonts w:ascii="Wingdings" w:hAnsi="Wingdings"/>
      <w:sz w:val="20"/>
    </w:rPr>
  </w:style>
  <w:style w:type="character" w:styleId="WWCharLFO12LVL6">
    <w:name w:val="WW_CharLFO12LVL6"/>
    <w:qFormat/>
    <w:rPr>
      <w:rFonts w:ascii="Wingdings" w:hAnsi="Wingdings"/>
      <w:sz w:val="20"/>
    </w:rPr>
  </w:style>
  <w:style w:type="character" w:styleId="WWCharLFO12LVL7">
    <w:name w:val="WW_CharLFO12LVL7"/>
    <w:qFormat/>
    <w:rPr>
      <w:rFonts w:ascii="Wingdings" w:hAnsi="Wingdings"/>
      <w:sz w:val="20"/>
    </w:rPr>
  </w:style>
  <w:style w:type="character" w:styleId="WWCharLFO12LVL8">
    <w:name w:val="WW_CharLFO12LVL8"/>
    <w:qFormat/>
    <w:rPr>
      <w:rFonts w:ascii="Wingdings" w:hAnsi="Wingdings"/>
      <w:sz w:val="20"/>
    </w:rPr>
  </w:style>
  <w:style w:type="character" w:styleId="WWCharLFO12LVL9">
    <w:name w:val="WW_CharLFO12LVL9"/>
    <w:qFormat/>
    <w:rPr>
      <w:rFonts w:ascii="Wingdings" w:hAnsi="Wingdings"/>
      <w:sz w:val="20"/>
    </w:rPr>
  </w:style>
  <w:style w:type="character" w:styleId="WWCharLFO13LVL1">
    <w:name w:val="WW_CharLFO13LVL1"/>
    <w:qFormat/>
    <w:rPr>
      <w:rFonts w:ascii="Symbol" w:hAnsi="Symbol"/>
      <w:sz w:val="20"/>
    </w:rPr>
  </w:style>
  <w:style w:type="character" w:styleId="WWCharLFO13LVL2">
    <w:name w:val="WW_CharLFO13LVL2"/>
    <w:qFormat/>
    <w:rPr>
      <w:rFonts w:ascii="Courier New" w:hAnsi="Courier New"/>
      <w:sz w:val="20"/>
    </w:rPr>
  </w:style>
  <w:style w:type="character" w:styleId="WWCharLFO13LVL3">
    <w:name w:val="WW_CharLFO13LVL3"/>
    <w:qFormat/>
    <w:rPr>
      <w:rFonts w:ascii="Wingdings" w:hAnsi="Wingdings"/>
      <w:sz w:val="20"/>
    </w:rPr>
  </w:style>
  <w:style w:type="character" w:styleId="WWCharLFO13LVL4">
    <w:name w:val="WW_CharLFO13LVL4"/>
    <w:qFormat/>
    <w:rPr>
      <w:rFonts w:ascii="Wingdings" w:hAnsi="Wingdings"/>
      <w:sz w:val="20"/>
    </w:rPr>
  </w:style>
  <w:style w:type="character" w:styleId="WWCharLFO13LVL5">
    <w:name w:val="WW_CharLFO13LVL5"/>
    <w:qFormat/>
    <w:rPr>
      <w:rFonts w:ascii="Wingdings" w:hAnsi="Wingdings"/>
      <w:sz w:val="20"/>
    </w:rPr>
  </w:style>
  <w:style w:type="character" w:styleId="WWCharLFO13LVL6">
    <w:name w:val="WW_CharLFO13LVL6"/>
    <w:qFormat/>
    <w:rPr>
      <w:rFonts w:ascii="Wingdings" w:hAnsi="Wingdings"/>
      <w:sz w:val="20"/>
    </w:rPr>
  </w:style>
  <w:style w:type="character" w:styleId="WWCharLFO13LVL7">
    <w:name w:val="WW_CharLFO13LVL7"/>
    <w:qFormat/>
    <w:rPr>
      <w:rFonts w:ascii="Wingdings" w:hAnsi="Wingdings"/>
      <w:sz w:val="20"/>
    </w:rPr>
  </w:style>
  <w:style w:type="character" w:styleId="WWCharLFO13LVL8">
    <w:name w:val="WW_CharLFO13LVL8"/>
    <w:qFormat/>
    <w:rPr>
      <w:rFonts w:ascii="Wingdings" w:hAnsi="Wingdings"/>
      <w:sz w:val="20"/>
    </w:rPr>
  </w:style>
  <w:style w:type="character" w:styleId="WWCharLFO13LVL9">
    <w:name w:val="WW_CharLFO13LVL9"/>
    <w:qFormat/>
    <w:rPr>
      <w:rFonts w:ascii="Wingdings" w:hAnsi="Wingdings"/>
      <w:sz w:val="20"/>
    </w:rPr>
  </w:style>
  <w:style w:type="character" w:styleId="WWCharLFO14LVL1">
    <w:name w:val="WW_CharLFO14LVL1"/>
    <w:qFormat/>
    <w:rPr>
      <w:rFonts w:ascii="Symbol" w:hAnsi="Symbol"/>
      <w:sz w:val="20"/>
    </w:rPr>
  </w:style>
  <w:style w:type="character" w:styleId="WWCharLFO14LVL2">
    <w:name w:val="WW_CharLFO14LVL2"/>
    <w:qFormat/>
    <w:rPr>
      <w:rFonts w:ascii="Courier New" w:hAnsi="Courier New"/>
      <w:sz w:val="20"/>
    </w:rPr>
  </w:style>
  <w:style w:type="character" w:styleId="WWCharLFO14LVL3">
    <w:name w:val="WW_CharLFO14LVL3"/>
    <w:qFormat/>
    <w:rPr>
      <w:rFonts w:ascii="Wingdings" w:hAnsi="Wingdings"/>
      <w:sz w:val="20"/>
    </w:rPr>
  </w:style>
  <w:style w:type="character" w:styleId="WWCharLFO14LVL4">
    <w:name w:val="WW_CharLFO14LVL4"/>
    <w:qFormat/>
    <w:rPr>
      <w:rFonts w:ascii="Wingdings" w:hAnsi="Wingdings"/>
      <w:sz w:val="20"/>
    </w:rPr>
  </w:style>
  <w:style w:type="character" w:styleId="WWCharLFO14LVL5">
    <w:name w:val="WW_CharLFO14LVL5"/>
    <w:qFormat/>
    <w:rPr>
      <w:rFonts w:ascii="Wingdings" w:hAnsi="Wingdings"/>
      <w:sz w:val="20"/>
    </w:rPr>
  </w:style>
  <w:style w:type="character" w:styleId="WWCharLFO14LVL6">
    <w:name w:val="WW_CharLFO14LVL6"/>
    <w:qFormat/>
    <w:rPr>
      <w:rFonts w:ascii="Wingdings" w:hAnsi="Wingdings"/>
      <w:sz w:val="20"/>
    </w:rPr>
  </w:style>
  <w:style w:type="character" w:styleId="WWCharLFO14LVL7">
    <w:name w:val="WW_CharLFO14LVL7"/>
    <w:qFormat/>
    <w:rPr>
      <w:rFonts w:ascii="Wingdings" w:hAnsi="Wingdings"/>
      <w:sz w:val="20"/>
    </w:rPr>
  </w:style>
  <w:style w:type="character" w:styleId="WWCharLFO14LVL8">
    <w:name w:val="WW_CharLFO14LVL8"/>
    <w:qFormat/>
    <w:rPr>
      <w:rFonts w:ascii="Wingdings" w:hAnsi="Wingdings"/>
      <w:sz w:val="20"/>
    </w:rPr>
  </w:style>
  <w:style w:type="character" w:styleId="WWCharLFO14LVL9">
    <w:name w:val="WW_CharLFO14LVL9"/>
    <w:qFormat/>
    <w:rPr>
      <w:rFonts w:ascii="Wingdings" w:hAnsi="Wingdings"/>
      <w:sz w:val="20"/>
    </w:rPr>
  </w:style>
  <w:style w:type="character" w:styleId="WWCharLFO15LVL1">
    <w:name w:val="WW_CharLFO15LVL1"/>
    <w:qFormat/>
    <w:rPr>
      <w:rFonts w:ascii="Symbol" w:hAnsi="Symbol"/>
      <w:sz w:val="20"/>
    </w:rPr>
  </w:style>
  <w:style w:type="character" w:styleId="WWCharLFO15LVL2">
    <w:name w:val="WW_CharLFO15LVL2"/>
    <w:qFormat/>
    <w:rPr>
      <w:rFonts w:ascii="Courier New" w:hAnsi="Courier New"/>
      <w:sz w:val="20"/>
    </w:rPr>
  </w:style>
  <w:style w:type="character" w:styleId="WWCharLFO15LVL3">
    <w:name w:val="WW_CharLFO15LVL3"/>
    <w:qFormat/>
    <w:rPr>
      <w:rFonts w:ascii="Wingdings" w:hAnsi="Wingdings"/>
      <w:sz w:val="20"/>
    </w:rPr>
  </w:style>
  <w:style w:type="character" w:styleId="WWCharLFO15LVL4">
    <w:name w:val="WW_CharLFO15LVL4"/>
    <w:qFormat/>
    <w:rPr>
      <w:rFonts w:ascii="Wingdings" w:hAnsi="Wingdings"/>
      <w:sz w:val="20"/>
    </w:rPr>
  </w:style>
  <w:style w:type="character" w:styleId="WWCharLFO15LVL5">
    <w:name w:val="WW_CharLFO15LVL5"/>
    <w:qFormat/>
    <w:rPr>
      <w:rFonts w:ascii="Wingdings" w:hAnsi="Wingdings"/>
      <w:sz w:val="20"/>
    </w:rPr>
  </w:style>
  <w:style w:type="character" w:styleId="WWCharLFO15LVL6">
    <w:name w:val="WW_CharLFO15LVL6"/>
    <w:qFormat/>
    <w:rPr>
      <w:rFonts w:ascii="Wingdings" w:hAnsi="Wingdings"/>
      <w:sz w:val="20"/>
    </w:rPr>
  </w:style>
  <w:style w:type="character" w:styleId="WWCharLFO15LVL7">
    <w:name w:val="WW_CharLFO15LVL7"/>
    <w:qFormat/>
    <w:rPr>
      <w:rFonts w:ascii="Wingdings" w:hAnsi="Wingdings"/>
      <w:sz w:val="20"/>
    </w:rPr>
  </w:style>
  <w:style w:type="character" w:styleId="WWCharLFO15LVL8">
    <w:name w:val="WW_CharLFO15LVL8"/>
    <w:qFormat/>
    <w:rPr>
      <w:rFonts w:ascii="Wingdings" w:hAnsi="Wingdings"/>
      <w:sz w:val="20"/>
    </w:rPr>
  </w:style>
  <w:style w:type="character" w:styleId="WWCharLFO15LVL9">
    <w:name w:val="WW_CharLFO15LVL9"/>
    <w:qFormat/>
    <w:rPr>
      <w:rFonts w:ascii="Wingdings" w:hAnsi="Wingdings"/>
      <w:sz w:val="20"/>
    </w:rPr>
  </w:style>
  <w:style w:type="character" w:styleId="WWCharLFO16LVL1">
    <w:name w:val="WW_CharLFO16LVL1"/>
    <w:qFormat/>
    <w:rPr>
      <w:rFonts w:ascii="Symbol" w:hAnsi="Symbol"/>
      <w:sz w:val="20"/>
    </w:rPr>
  </w:style>
  <w:style w:type="character" w:styleId="WWCharLFO16LVL2">
    <w:name w:val="WW_CharLFO16LVL2"/>
    <w:qFormat/>
    <w:rPr>
      <w:rFonts w:ascii="Courier New" w:hAnsi="Courier New"/>
      <w:sz w:val="20"/>
    </w:rPr>
  </w:style>
  <w:style w:type="character" w:styleId="WWCharLFO16LVL3">
    <w:name w:val="WW_CharLFO16LVL3"/>
    <w:qFormat/>
    <w:rPr>
      <w:rFonts w:ascii="Wingdings" w:hAnsi="Wingdings"/>
      <w:sz w:val="20"/>
    </w:rPr>
  </w:style>
  <w:style w:type="character" w:styleId="WWCharLFO16LVL4">
    <w:name w:val="WW_CharLFO16LVL4"/>
    <w:qFormat/>
    <w:rPr>
      <w:rFonts w:ascii="Wingdings" w:hAnsi="Wingdings"/>
      <w:sz w:val="20"/>
    </w:rPr>
  </w:style>
  <w:style w:type="character" w:styleId="WWCharLFO16LVL5">
    <w:name w:val="WW_CharLFO16LVL5"/>
    <w:qFormat/>
    <w:rPr>
      <w:rFonts w:ascii="Wingdings" w:hAnsi="Wingdings"/>
      <w:sz w:val="20"/>
    </w:rPr>
  </w:style>
  <w:style w:type="character" w:styleId="WWCharLFO16LVL6">
    <w:name w:val="WW_CharLFO16LVL6"/>
    <w:qFormat/>
    <w:rPr>
      <w:rFonts w:ascii="Wingdings" w:hAnsi="Wingdings"/>
      <w:sz w:val="20"/>
    </w:rPr>
  </w:style>
  <w:style w:type="character" w:styleId="WWCharLFO16LVL7">
    <w:name w:val="WW_CharLFO16LVL7"/>
    <w:qFormat/>
    <w:rPr>
      <w:rFonts w:ascii="Wingdings" w:hAnsi="Wingdings"/>
      <w:sz w:val="20"/>
    </w:rPr>
  </w:style>
  <w:style w:type="character" w:styleId="WWCharLFO16LVL8">
    <w:name w:val="WW_CharLFO16LVL8"/>
    <w:qFormat/>
    <w:rPr>
      <w:rFonts w:ascii="Wingdings" w:hAnsi="Wingdings"/>
      <w:sz w:val="20"/>
    </w:rPr>
  </w:style>
  <w:style w:type="character" w:styleId="WWCharLFO16LVL9">
    <w:name w:val="WW_CharLFO16LVL9"/>
    <w:qFormat/>
    <w:rPr>
      <w:rFonts w:ascii="Wingdings" w:hAnsi="Wingdings"/>
      <w:sz w:val="20"/>
    </w:rPr>
  </w:style>
  <w:style w:type="character" w:styleId="Zakotwiczenieprzypisudolnego">
    <w:name w:val="Zakotwiczenie przypisu dolnego"/>
    <w:qFormat/>
    <w:rPr>
      <w:vertAlign w:val="superscript"/>
    </w:rPr>
  </w:style>
  <w:style w:type="character" w:styleId="Znakiprzypiswdolnych">
    <w:name w:val="Znaki przypisów dolnych"/>
    <w:qFormat/>
    <w:rPr/>
  </w:style>
  <w:style w:type="character" w:styleId="Hyperlink">
    <w:name w:val="Hyperlink"/>
    <w:rPr>
      <w:color w:val="000080"/>
      <w:u w:val="single"/>
    </w:rPr>
  </w:style>
  <w:style w:type="character" w:styleId="EndnoteReference">
    <w:name w:val="endnote reference"/>
    <w:rPr>
      <w:vertAlign w:val="superscript"/>
    </w:rPr>
  </w:style>
  <w:style w:type="character" w:styleId="Znakiprzypiswkocowych">
    <w:name w:val="Znaki przypisów końcowych"/>
    <w:qFormat/>
    <w:rPr/>
  </w:style>
  <w:style w:type="paragraph" w:styleId="Nagwek">
    <w:name w:val="Nagłówek"/>
    <w:basedOn w:val="Normal"/>
    <w:next w:val="BodyText"/>
    <w:qFormat/>
    <w:pPr>
      <w:keepNext w:val="true"/>
      <w:spacing w:before="240" w:after="120"/>
    </w:pPr>
    <w:rPr>
      <w:rFonts w:ascii="Liberation Sans" w:hAnsi="Liberation Sans" w:eastAsia="Noto Sans" w:cs="Noto Sans Arabic"/>
      <w:sz w:val="28"/>
      <w:szCs w:val="28"/>
    </w:rPr>
  </w:style>
  <w:style w:type="paragraph" w:styleId="BodyText">
    <w:name w:val="Body Text"/>
    <w:basedOn w:val="Normal"/>
    <w:pPr>
      <w:spacing w:lineRule="auto" w:line="276" w:before="0" w:after="140"/>
    </w:pPr>
    <w:rPr/>
  </w:style>
  <w:style w:type="paragraph" w:styleId="Normal1">
    <w:name w:val="Normal1"/>
    <w:qFormat/>
    <w:pPr>
      <w:keepNext w:val="false"/>
      <w:keepLines w:val="false"/>
      <w:pageBreakBefore w:val="false"/>
      <w:widowControl/>
      <w:pBdr/>
      <w:shd w:fill="auto" w:val="clear"/>
      <w:suppressAutoHyphens w:val="true"/>
      <w:kinsoku w:val="true"/>
      <w:overflowPunct w:val="true"/>
      <w:autoSpaceDE w:val="true"/>
      <w:bidi w:val="0"/>
      <w:snapToGrid w:val="true"/>
      <w:spacing w:before="0" w:after="0" w:lineRule="auto" w:line="276"/>
      <w:jc w:val="start"/>
      <w:textAlignment w:val="auto"/>
    </w:pPr>
    <w:rPr>
      <w:rFonts w:ascii="Arial" w:hAnsi="Arial" w:eastAsia="Arial" w:cs="Arial"/>
      <w:b w:val="false"/>
      <w:bCs w:val="false"/>
      <w:i w:val="false"/>
      <w:iCs w:val="false"/>
      <w:caps w:val="false"/>
      <w:smallCaps w:val="false"/>
      <w:strike w:val="false"/>
      <w:dstrike w:val="false"/>
      <w:outline w:val="false"/>
      <w:emboss w:val="false"/>
      <w:imprint w:val="false"/>
      <w:color w:val="auto"/>
      <w:spacing w:val="0"/>
      <w:w w:val="100"/>
      <w:kern w:val="0"/>
      <w:position w:val="0"/>
      <w:sz w:val="22"/>
      <w:szCs w:val="22"/>
      <w:u w:val="none"/>
      <w:shd w:fill="auto" w:val="clear"/>
      <w:vertAlign w:val="baseline"/>
      <w:em w:val="none"/>
      <w:lang w:val="en-GB" w:eastAsia="en-US" w:bidi="ar-SA"/>
    </w:rPr>
  </w:style>
  <w:style w:type="paragraph" w:styleId="Title">
    <w:name w:val="Title"/>
    <w:basedOn w:val="Normal1"/>
    <w:next w:val="Normal1"/>
    <w:qFormat/>
    <w:pPr>
      <w:suppressAutoHyphens w:val="true"/>
      <w:spacing w:lineRule="auto" w:line="240" w:before="0" w:after="80"/>
      <w:contextualSpacing/>
    </w:pPr>
    <w:rPr>
      <w:rFonts w:ascii="Aptos Display" w:hAnsi="Aptos Display" w:eastAsia="Times New Roman" w:cs="Times New Roman"/>
      <w:spacing w:val="-10"/>
      <w:kern w:val="2"/>
      <w:sz w:val="56"/>
      <w:szCs w:val="56"/>
    </w:rPr>
  </w:style>
  <w:style w:type="paragraph" w:styleId="Subtitle">
    <w:name w:val="Subtitle"/>
    <w:basedOn w:val="Normal1"/>
    <w:next w:val="Normal1"/>
    <w:qFormat/>
    <w:pPr>
      <w:suppressAutoHyphens w:val="true"/>
    </w:pPr>
    <w:rPr>
      <w:rFonts w:eastAsia="Times New Roman" w:cs="Times New Roman"/>
      <w:color w:val="595959"/>
      <w:spacing w:val="15"/>
      <w:sz w:val="28"/>
      <w:szCs w:val="28"/>
    </w:rPr>
  </w:style>
  <w:style w:type="paragraph" w:styleId="Quote">
    <w:name w:val="Quote"/>
    <w:basedOn w:val="Normal1"/>
    <w:next w:val="Normal1"/>
    <w:qFormat/>
    <w:pPr>
      <w:suppressAutoHyphens w:val="true"/>
      <w:spacing w:before="160" w:after="160"/>
      <w:jc w:val="center"/>
    </w:pPr>
    <w:rPr>
      <w:i/>
      <w:iCs/>
      <w:color w:val="404040"/>
    </w:rPr>
  </w:style>
  <w:style w:type="paragraph" w:styleId="ListParagraph">
    <w:name w:val="List Paragraph"/>
    <w:basedOn w:val="Normal1"/>
    <w:qFormat/>
    <w:pPr>
      <w:tabs>
        <w:tab w:val="clear" w:pos="720"/>
      </w:tabs>
      <w:suppressAutoHyphens w:val="true"/>
      <w:spacing w:before="0" w:after="160"/>
      <w:ind w:start="720"/>
      <w:contextualSpacing/>
    </w:pPr>
    <w:rPr/>
  </w:style>
  <w:style w:type="paragraph" w:styleId="IntenseQuote">
    <w:name w:val="Intense Quote"/>
    <w:basedOn w:val="Normal1"/>
    <w:next w:val="Normal1"/>
    <w:qFormat/>
    <w:pPr>
      <w:pBdr>
        <w:top w:val="single" w:sz="4" w:space="10" w:color="0F4761"/>
        <w:bottom w:val="single" w:sz="4" w:space="10" w:color="0F4761"/>
      </w:pBdr>
      <w:tabs>
        <w:tab w:val="clear" w:pos="720"/>
      </w:tabs>
      <w:suppressAutoHyphens w:val="true"/>
      <w:spacing w:before="360" w:after="360"/>
      <w:ind w:start="864" w:end="864"/>
      <w:jc w:val="center"/>
    </w:pPr>
    <w:rPr>
      <w:i/>
      <w:iCs/>
      <w:color w:val="0F4761"/>
    </w:rPr>
  </w:style>
  <w:style w:type="paragraph" w:styleId="Gwkaistopka">
    <w:name w:val="Główka i stopka"/>
    <w:basedOn w:val="Normal"/>
    <w:qFormat/>
    <w:pPr>
      <w:suppressLineNumbers/>
      <w:tabs>
        <w:tab w:val="clear" w:pos="720"/>
        <w:tab w:val="center" w:pos="4819" w:leader="none"/>
        <w:tab w:val="right" w:pos="9638" w:leader="none"/>
      </w:tabs>
    </w:pPr>
    <w:rPr/>
  </w:style>
  <w:style w:type="paragraph" w:styleId="Header">
    <w:name w:val="header"/>
    <w:basedOn w:val="Normal1"/>
    <w:pPr>
      <w:tabs>
        <w:tab w:val="clear" w:pos="720"/>
        <w:tab w:val="center" w:pos="4513" w:leader="none"/>
        <w:tab w:val="right" w:pos="9026" w:leader="none"/>
      </w:tabs>
      <w:suppressAutoHyphens w:val="true"/>
      <w:spacing w:lineRule="auto" w:line="240"/>
    </w:pPr>
    <w:rPr/>
  </w:style>
  <w:style w:type="paragraph" w:styleId="Footer">
    <w:name w:val="footer"/>
    <w:basedOn w:val="Normal1"/>
    <w:pPr>
      <w:tabs>
        <w:tab w:val="clear" w:pos="720"/>
        <w:tab w:val="center" w:pos="4513" w:leader="none"/>
        <w:tab w:val="right" w:pos="9026" w:leader="none"/>
      </w:tabs>
      <w:suppressAutoHyphens w:val="true"/>
      <w:spacing w:lineRule="auto" w:line="240"/>
    </w:pPr>
    <w:rPr/>
  </w:style>
  <w:style w:type="paragraph" w:styleId="CommentText">
    <w:name w:val="Comment Text"/>
    <w:basedOn w:val="Normal1"/>
    <w:qFormat/>
    <w:pPr>
      <w:suppressAutoHyphens w:val="true"/>
      <w:spacing w:lineRule="auto" w:line="240"/>
    </w:pPr>
    <w:rPr>
      <w:sz w:val="20"/>
      <w:szCs w:val="20"/>
    </w:rPr>
  </w:style>
  <w:style w:type="paragraph" w:styleId="FootnoteText1">
    <w:name w:val="Footnote Text1"/>
    <w:basedOn w:val="Normal1"/>
    <w:qFormat/>
    <w:pPr>
      <w:suppressAutoHyphens w:val="true"/>
      <w:spacing w:lineRule="auto" w:line="240"/>
    </w:pPr>
    <w:rPr>
      <w:rFonts w:ascii="Aptos" w:hAnsi="Aptos" w:eastAsia="Aptos" w:cs="Times New Roman"/>
      <w:sz w:val="20"/>
      <w:szCs w:val="25"/>
      <w:lang w:val="en-US" w:bidi="th-TH"/>
    </w:rPr>
  </w:style>
  <w:style w:type="paragraph" w:styleId="Revision">
    <w:name w:val="Revision"/>
    <w:qFormat/>
    <w:pPr>
      <w:keepNext w:val="false"/>
      <w:keepLines w:val="false"/>
      <w:pageBreakBefore w:val="false"/>
      <w:widowControl/>
      <w:pBdr/>
      <w:shd w:fill="auto" w:val="clear"/>
      <w:suppressAutoHyphens w:val="true"/>
      <w:kinsoku w:val="true"/>
      <w:overflowPunct w:val="true"/>
      <w:autoSpaceDE w:val="true"/>
      <w:bidi w:val="0"/>
      <w:snapToGrid w:val="true"/>
      <w:spacing w:lineRule="auto" w:line="240" w:before="0" w:after="0"/>
      <w:jc w:val="start"/>
      <w:textAlignment w:val="auto"/>
    </w:pPr>
    <w:rPr>
      <w:rFonts w:ascii="Arial" w:hAnsi="Arial" w:eastAsia="Arial" w:cs="Arial"/>
      <w:b w:val="false"/>
      <w:bCs w:val="false"/>
      <w:i w:val="false"/>
      <w:iCs w:val="false"/>
      <w:caps w:val="false"/>
      <w:smallCaps w:val="false"/>
      <w:strike w:val="false"/>
      <w:dstrike w:val="false"/>
      <w:outline w:val="false"/>
      <w:emboss w:val="false"/>
      <w:imprint w:val="false"/>
      <w:color w:val="auto"/>
      <w:spacing w:val="0"/>
      <w:w w:val="100"/>
      <w:kern w:val="0"/>
      <w:position w:val="0"/>
      <w:sz w:val="22"/>
      <w:szCs w:val="22"/>
      <w:u w:val="none"/>
      <w:shd w:fill="auto" w:val="clear"/>
      <w:vertAlign w:val="baseline"/>
      <w:em w:val="none"/>
      <w:lang w:val="en-GB" w:eastAsia="en-US" w:bidi="ar-SA"/>
    </w:rPr>
  </w:style>
  <w:style w:type="paragraph" w:styleId="CommentSubject">
    <w:name w:val="Comment Subject"/>
    <w:basedOn w:val="CommentText"/>
    <w:next w:val="CommentText"/>
    <w:qFormat/>
    <w:pPr>
      <w:suppressAutoHyphens w:val="true"/>
    </w:pPr>
    <w:rPr>
      <w:b/>
      <w:bCs/>
    </w:rPr>
  </w:style>
  <w:style w:type="paragraph" w:styleId="Zawartoramki">
    <w:name w:val="Zawartość ramki"/>
    <w:basedOn w:val="Normal"/>
    <w:qFormat/>
    <w:pPr/>
    <w:rPr/>
  </w:style>
  <w:style w:type="paragraph" w:styleId="Zawartotabeli">
    <w:name w:val="Zawartość tabeli"/>
    <w:basedOn w:val="Normal"/>
    <w:qFormat/>
    <w:pPr>
      <w:widowControl w:val="false"/>
      <w:suppressLineNumbers/>
    </w:pPr>
    <w:rPr/>
  </w:style>
  <w:style w:type="paragraph" w:styleId="FootnoteText">
    <w:name w:val="footnote text"/>
    <w:basedOn w:val="Normal"/>
    <w:pPr>
      <w:suppressLineNumbers/>
      <w:ind w:hanging="340" w:start="34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ke_evidencefundeastafrica@pwc.com" TargetMode="External"/><Relationship Id="rId3" Type="http://schemas.openxmlformats.org/officeDocument/2006/relationships/hyperlink" Target="https://eur02.safelinks.protection.outlook.com/?url=https%3A%2F%2Fwww.gov.uk%2Fgovernment%2Fpublications%2Fdfid-ethical-guidance-for-research-evaluation-and-monitoring-activities%23history&amp;data=04%7C01%7CS-Muthuri%40dfid.gov.uk%7C3881ca95dbdb4d79e56b08d965f64e44%7Ccdf709af1a184c74bd936d14a64d73b3%7C0%7C0%7C637652930828532483%7CUnknown%7CTWFpbGZsb3d8eyJWIjoiMC4wLjAwMDAiLCJQIjoiV2luMzIiLCJBTiI6Ik1haWwiLCJXVCI6Mn0%3D%7C1000&amp;sdata=nc291Rgq4HYu%2B0eQDfdvo7gLdT5sjeKC4AYp79Mqi3g%3D&amp;reserved=0" TargetMode="Externa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footnotes" Target="footnotes.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_rels/footnotes.xml.rels><?xml version="1.0" encoding="UTF-8"?>
<Relationships xmlns="http://schemas.openxmlformats.org/package/2006/relationships"><Relationship Id="rId1" Type="http://schemas.openxmlformats.org/officeDocument/2006/relationships/hyperlink" Target="https://nacosti.go.ke/nacosti/Docs/Information%20Centre/Science-Technology-and-Innovation-Act-No.-28-of-20131.pdf" TargetMode="External"/><Relationship Id="rId2" Type="http://schemas.openxmlformats.org/officeDocument/2006/relationships/hyperlink" Target="https://www.innovationagency.go.ke/storage/pub-docs/ken_pub_INNOVATION%20MASTERPLAN%20FINAL5.pdf" TargetMode="Externa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LibreOffice/25.8.4.2$Linux_X86_64 LibreOffice_project/580$Build-2</Application>
  <AppVersion>15.0000</AppVersion>
  <Pages>11</Pages>
  <Words>3919</Words>
  <Characters>22613</Characters>
  <CharactersWithSpaces>26371</CharactersWithSpaces>
  <Paragraphs>161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2025-12-12T13:48:00Z</dcterms:created>
  <dc:creator/>
  <dc:description/>
  <dc:language>pl-PL</dc:language>
  <cp:lastModifiedBy/>
  <dcterms:modified xsi:type="dcterms:W3CDTF">2025-12-12T13:48:00Z</dcterms:modified>
  <cp:revision>1</cp:revision>
  <dc:subject/>
  <dc:title/>
</cp:coreProperties>
</file>