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broad goal: help parents schedule and track exposure to food allergens using Globowl products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focus statement: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how to study user’s current behaviors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interviews with new mothers/fathers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ask parents to track food for a few days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design an “allergic food” program to try out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how to study user’s barriers: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time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questionnaire??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how to study user’s successes: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happy baby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feeling that the money is worthwhile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