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032EC" w14:textId="77777777" w:rsidR="00824E53" w:rsidRPr="00824E53" w:rsidRDefault="00824E53" w:rsidP="00824E53">
      <w:r w:rsidRPr="00824E53">
        <w:rPr>
          <w:b/>
          <w:bCs/>
        </w:rPr>
        <w:t>Compliance and Legal Framework for Walking the Sahel (WTS)</w:t>
      </w:r>
    </w:p>
    <w:p w14:paraId="589E72A8" w14:textId="77777777" w:rsidR="00824E53" w:rsidRPr="00824E53" w:rsidRDefault="00824E53" w:rsidP="00824E53">
      <w:r w:rsidRPr="00824E53">
        <w:rPr>
          <w:b/>
          <w:bCs/>
        </w:rPr>
        <w:t>Objective</w:t>
      </w:r>
      <w:r w:rsidRPr="00824E53">
        <w:t xml:space="preserve"> To establish a robust legal and regulatory compliance structure that ensures seamless operations, safeguards user data, and aligns with regional trade laws under the AfCFTA framework.</w:t>
      </w:r>
    </w:p>
    <w:p w14:paraId="51A17896" w14:textId="77777777" w:rsidR="00824E53" w:rsidRPr="00824E53" w:rsidRDefault="00824E53" w:rsidP="00824E53">
      <w:r w:rsidRPr="00824E53">
        <w:pict w14:anchorId="67E03036">
          <v:rect id="_x0000_i1160" style="width:0;height:1.5pt" o:hralign="center" o:hrstd="t" o:hr="t" fillcolor="#a0a0a0" stroked="f"/>
        </w:pict>
      </w:r>
    </w:p>
    <w:p w14:paraId="3A9BFF5D" w14:textId="77777777" w:rsidR="00824E53" w:rsidRPr="00824E53" w:rsidRDefault="00824E53" w:rsidP="00824E53">
      <w:r w:rsidRPr="00824E53">
        <w:rPr>
          <w:b/>
          <w:bCs/>
        </w:rPr>
        <w:t>1. Regulatory Compliance</w:t>
      </w:r>
    </w:p>
    <w:p w14:paraId="0DA069B5" w14:textId="77777777" w:rsidR="00824E53" w:rsidRPr="00824E53" w:rsidRDefault="00824E53" w:rsidP="00824E53">
      <w:r w:rsidRPr="00824E53">
        <w:rPr>
          <w:b/>
          <w:bCs/>
        </w:rPr>
        <w:t>AfCFTA Alignment</w:t>
      </w:r>
      <w:r w:rsidRPr="00824E53">
        <w:t>:</w:t>
      </w:r>
    </w:p>
    <w:p w14:paraId="5E03ECD7" w14:textId="77777777" w:rsidR="00824E53" w:rsidRPr="00824E53" w:rsidRDefault="00824E53" w:rsidP="00824E53">
      <w:pPr>
        <w:numPr>
          <w:ilvl w:val="0"/>
          <w:numId w:val="1"/>
        </w:numPr>
      </w:pPr>
      <w:r w:rsidRPr="00824E53">
        <w:rPr>
          <w:b/>
          <w:bCs/>
        </w:rPr>
        <w:t>Cross-Border Trade Facilitation</w:t>
      </w:r>
      <w:r w:rsidRPr="00824E53">
        <w:t>:</w:t>
      </w:r>
    </w:p>
    <w:p w14:paraId="57A1D4C3" w14:textId="77777777" w:rsidR="00824E53" w:rsidRPr="00824E53" w:rsidRDefault="00824E53" w:rsidP="00824E53">
      <w:pPr>
        <w:numPr>
          <w:ilvl w:val="1"/>
          <w:numId w:val="1"/>
        </w:numPr>
      </w:pPr>
      <w:r w:rsidRPr="00824E53">
        <w:t>Ensure platform policies align with AfCFTA trade regulations, including tariff reductions and customs procedures.</w:t>
      </w:r>
    </w:p>
    <w:p w14:paraId="766C22D0" w14:textId="77777777" w:rsidR="00824E53" w:rsidRPr="00824E53" w:rsidRDefault="00824E53" w:rsidP="00824E53">
      <w:pPr>
        <w:numPr>
          <w:ilvl w:val="1"/>
          <w:numId w:val="1"/>
        </w:numPr>
      </w:pPr>
      <w:r w:rsidRPr="00824E53">
        <w:t>Collaborate with AfCFTA Secretariat to address emerging trade barriers.</w:t>
      </w:r>
    </w:p>
    <w:p w14:paraId="2D808DEF" w14:textId="77777777" w:rsidR="00824E53" w:rsidRPr="00824E53" w:rsidRDefault="00824E53" w:rsidP="00824E53">
      <w:pPr>
        <w:numPr>
          <w:ilvl w:val="0"/>
          <w:numId w:val="1"/>
        </w:numPr>
      </w:pPr>
      <w:r w:rsidRPr="00824E53">
        <w:rPr>
          <w:b/>
          <w:bCs/>
        </w:rPr>
        <w:t>Licensing</w:t>
      </w:r>
      <w:r w:rsidRPr="00824E53">
        <w:t>:</w:t>
      </w:r>
    </w:p>
    <w:p w14:paraId="37D1D3C7" w14:textId="77777777" w:rsidR="00824E53" w:rsidRPr="00824E53" w:rsidRDefault="00824E53" w:rsidP="00824E53">
      <w:pPr>
        <w:numPr>
          <w:ilvl w:val="1"/>
          <w:numId w:val="1"/>
        </w:numPr>
      </w:pPr>
      <w:r w:rsidRPr="00824E53">
        <w:t>Obtain relevant trade licenses for operations in all participating countries.</w:t>
      </w:r>
    </w:p>
    <w:p w14:paraId="07B65DDA" w14:textId="77777777" w:rsidR="00824E53" w:rsidRPr="00824E53" w:rsidRDefault="00824E53" w:rsidP="00824E53">
      <w:r w:rsidRPr="00824E53">
        <w:rPr>
          <w:b/>
          <w:bCs/>
        </w:rPr>
        <w:t>Local Regulations</w:t>
      </w:r>
      <w:r w:rsidRPr="00824E53">
        <w:t>:</w:t>
      </w:r>
    </w:p>
    <w:p w14:paraId="7A3B1E87" w14:textId="77777777" w:rsidR="00824E53" w:rsidRPr="00824E53" w:rsidRDefault="00824E53" w:rsidP="00824E53">
      <w:pPr>
        <w:numPr>
          <w:ilvl w:val="0"/>
          <w:numId w:val="2"/>
        </w:numPr>
      </w:pPr>
      <w:r w:rsidRPr="00824E53">
        <w:t>Engage with regional trade authorities and governments to meet country-specific legal requirements.</w:t>
      </w:r>
    </w:p>
    <w:p w14:paraId="490F12EF" w14:textId="77777777" w:rsidR="00824E53" w:rsidRPr="00824E53" w:rsidRDefault="00824E53" w:rsidP="00824E53">
      <w:pPr>
        <w:numPr>
          <w:ilvl w:val="0"/>
          <w:numId w:val="2"/>
        </w:numPr>
      </w:pPr>
      <w:r w:rsidRPr="00824E53">
        <w:t>Regularly update operational practices to comply with new trade policies.</w:t>
      </w:r>
    </w:p>
    <w:p w14:paraId="62563842" w14:textId="77777777" w:rsidR="00824E53" w:rsidRPr="00824E53" w:rsidRDefault="00824E53" w:rsidP="00824E53">
      <w:r w:rsidRPr="00824E53">
        <w:rPr>
          <w:b/>
          <w:bCs/>
        </w:rPr>
        <w:t>Financial Compliance</w:t>
      </w:r>
      <w:r w:rsidRPr="00824E53">
        <w:t>:</w:t>
      </w:r>
    </w:p>
    <w:p w14:paraId="20B92939" w14:textId="77777777" w:rsidR="00824E53" w:rsidRPr="00824E53" w:rsidRDefault="00824E53" w:rsidP="00824E53">
      <w:pPr>
        <w:numPr>
          <w:ilvl w:val="0"/>
          <w:numId w:val="3"/>
        </w:numPr>
      </w:pPr>
      <w:r w:rsidRPr="00824E53">
        <w:t>Partner with Afreximbank’s PAPSS for regulated cross-border payment solutions.</w:t>
      </w:r>
    </w:p>
    <w:p w14:paraId="7A6F4319" w14:textId="77777777" w:rsidR="00824E53" w:rsidRPr="00824E53" w:rsidRDefault="00824E53" w:rsidP="00824E53">
      <w:pPr>
        <w:numPr>
          <w:ilvl w:val="0"/>
          <w:numId w:val="3"/>
        </w:numPr>
      </w:pPr>
      <w:r w:rsidRPr="00824E53">
        <w:t>Adhere to anti-money laundering (AML) and know-your-customer (KYC) standards.</w:t>
      </w:r>
    </w:p>
    <w:p w14:paraId="196E1CA8" w14:textId="77777777" w:rsidR="00824E53" w:rsidRPr="00824E53" w:rsidRDefault="00824E53" w:rsidP="00824E53">
      <w:r w:rsidRPr="00824E53">
        <w:pict w14:anchorId="1EA675D7">
          <v:rect id="_x0000_i1161" style="width:0;height:1.5pt" o:hralign="center" o:hrstd="t" o:hr="t" fillcolor="#a0a0a0" stroked="f"/>
        </w:pict>
      </w:r>
    </w:p>
    <w:p w14:paraId="304E1533" w14:textId="77777777" w:rsidR="00824E53" w:rsidRPr="00824E53" w:rsidRDefault="00824E53" w:rsidP="00824E53">
      <w:r w:rsidRPr="00824E53">
        <w:rPr>
          <w:b/>
          <w:bCs/>
        </w:rPr>
        <w:t>2. Data Protection and Privacy</w:t>
      </w:r>
    </w:p>
    <w:p w14:paraId="3E9019E6" w14:textId="77777777" w:rsidR="00824E53" w:rsidRPr="00824E53" w:rsidRDefault="00824E53" w:rsidP="00824E53">
      <w:r w:rsidRPr="00824E53">
        <w:rPr>
          <w:b/>
          <w:bCs/>
        </w:rPr>
        <w:t>User Data Security</w:t>
      </w:r>
      <w:r w:rsidRPr="00824E53">
        <w:t>:</w:t>
      </w:r>
    </w:p>
    <w:p w14:paraId="393E5443" w14:textId="77777777" w:rsidR="00824E53" w:rsidRPr="00824E53" w:rsidRDefault="00824E53" w:rsidP="00824E53">
      <w:pPr>
        <w:numPr>
          <w:ilvl w:val="0"/>
          <w:numId w:val="4"/>
        </w:numPr>
      </w:pPr>
      <w:r w:rsidRPr="00824E53">
        <w:t>Comply with the General Data Protection Regulation (GDPR) for international users.</w:t>
      </w:r>
    </w:p>
    <w:p w14:paraId="273361A9" w14:textId="77777777" w:rsidR="00824E53" w:rsidRPr="00824E53" w:rsidRDefault="00824E53" w:rsidP="00824E53">
      <w:pPr>
        <w:numPr>
          <w:ilvl w:val="0"/>
          <w:numId w:val="4"/>
        </w:numPr>
      </w:pPr>
      <w:r w:rsidRPr="00824E53">
        <w:t>Implement data encryption protocols and secure storage systems.</w:t>
      </w:r>
    </w:p>
    <w:p w14:paraId="793669A2" w14:textId="77777777" w:rsidR="00824E53" w:rsidRPr="00824E53" w:rsidRDefault="00824E53" w:rsidP="00824E53">
      <w:r w:rsidRPr="00824E53">
        <w:rPr>
          <w:b/>
          <w:bCs/>
        </w:rPr>
        <w:t>Regional Privacy Laws</w:t>
      </w:r>
      <w:r w:rsidRPr="00824E53">
        <w:t>:</w:t>
      </w:r>
    </w:p>
    <w:p w14:paraId="377F5281" w14:textId="77777777" w:rsidR="00824E53" w:rsidRPr="00824E53" w:rsidRDefault="00824E53" w:rsidP="00824E53">
      <w:pPr>
        <w:numPr>
          <w:ilvl w:val="0"/>
          <w:numId w:val="5"/>
        </w:numPr>
      </w:pPr>
      <w:r w:rsidRPr="00824E53">
        <w:t>Ensure compliance with Africa-specific privacy laws, such as Nigeria’s NDPR and Kenya’s Data Protection Act.</w:t>
      </w:r>
    </w:p>
    <w:p w14:paraId="2A8CF302" w14:textId="77777777" w:rsidR="00824E53" w:rsidRPr="00824E53" w:rsidRDefault="00824E53" w:rsidP="00824E53">
      <w:pPr>
        <w:numPr>
          <w:ilvl w:val="0"/>
          <w:numId w:val="5"/>
        </w:numPr>
      </w:pPr>
      <w:r w:rsidRPr="00824E53">
        <w:t>Conduct annual data audits to maintain compliance.</w:t>
      </w:r>
    </w:p>
    <w:p w14:paraId="7C536CE3" w14:textId="77777777" w:rsidR="00824E53" w:rsidRPr="00824E53" w:rsidRDefault="00824E53" w:rsidP="00824E53">
      <w:r w:rsidRPr="00824E53">
        <w:rPr>
          <w:b/>
          <w:bCs/>
        </w:rPr>
        <w:t>Platform Transparency</w:t>
      </w:r>
      <w:r w:rsidRPr="00824E53">
        <w:t>:</w:t>
      </w:r>
    </w:p>
    <w:p w14:paraId="27854683" w14:textId="77777777" w:rsidR="00824E53" w:rsidRPr="00824E53" w:rsidRDefault="00824E53" w:rsidP="00824E53">
      <w:pPr>
        <w:numPr>
          <w:ilvl w:val="0"/>
          <w:numId w:val="6"/>
        </w:numPr>
      </w:pPr>
      <w:r w:rsidRPr="00824E53">
        <w:t>Provide clear terms of use and privacy policies accessible to all users.</w:t>
      </w:r>
    </w:p>
    <w:p w14:paraId="3EEEE7C8" w14:textId="77777777" w:rsidR="00824E53" w:rsidRPr="00824E53" w:rsidRDefault="00824E53" w:rsidP="00824E53">
      <w:pPr>
        <w:numPr>
          <w:ilvl w:val="0"/>
          <w:numId w:val="6"/>
        </w:numPr>
      </w:pPr>
      <w:r w:rsidRPr="00824E53">
        <w:lastRenderedPageBreak/>
        <w:t>Enable users to manage their data preferences and request information deletions.</w:t>
      </w:r>
    </w:p>
    <w:p w14:paraId="6E3EB57A" w14:textId="77777777" w:rsidR="00824E53" w:rsidRPr="00824E53" w:rsidRDefault="00824E53" w:rsidP="00824E53">
      <w:r w:rsidRPr="00824E53">
        <w:pict w14:anchorId="730373FF">
          <v:rect id="_x0000_i1162" style="width:0;height:1.5pt" o:hralign="center" o:hrstd="t" o:hr="t" fillcolor="#a0a0a0" stroked="f"/>
        </w:pict>
      </w:r>
    </w:p>
    <w:p w14:paraId="76C4F0A5" w14:textId="77777777" w:rsidR="00824E53" w:rsidRPr="00824E53" w:rsidRDefault="00824E53" w:rsidP="00824E53">
      <w:r w:rsidRPr="00824E53">
        <w:rPr>
          <w:b/>
          <w:bCs/>
        </w:rPr>
        <w:t>3. Contracts and Agreements</w:t>
      </w:r>
    </w:p>
    <w:p w14:paraId="7C50D65C" w14:textId="77777777" w:rsidR="00824E53" w:rsidRPr="00824E53" w:rsidRDefault="00824E53" w:rsidP="00824E53">
      <w:r w:rsidRPr="00824E53">
        <w:rPr>
          <w:b/>
          <w:bCs/>
        </w:rPr>
        <w:t>User Agreements</w:t>
      </w:r>
      <w:r w:rsidRPr="00824E53">
        <w:t>:</w:t>
      </w:r>
    </w:p>
    <w:p w14:paraId="443C8155" w14:textId="77777777" w:rsidR="00824E53" w:rsidRPr="00824E53" w:rsidRDefault="00824E53" w:rsidP="00824E53">
      <w:pPr>
        <w:numPr>
          <w:ilvl w:val="0"/>
          <w:numId w:val="7"/>
        </w:numPr>
      </w:pPr>
      <w:r w:rsidRPr="00824E53">
        <w:t>Develop standardized contracts for suppliers, buyers, and logistics operators.</w:t>
      </w:r>
    </w:p>
    <w:p w14:paraId="603A61BC" w14:textId="77777777" w:rsidR="00824E53" w:rsidRPr="00824E53" w:rsidRDefault="00824E53" w:rsidP="00824E53">
      <w:pPr>
        <w:numPr>
          <w:ilvl w:val="0"/>
          <w:numId w:val="7"/>
        </w:numPr>
      </w:pPr>
      <w:r w:rsidRPr="00824E53">
        <w:t>Include liability clauses for non-performance, delayed deliveries, and data breaches.</w:t>
      </w:r>
    </w:p>
    <w:p w14:paraId="3AC44A8E" w14:textId="77777777" w:rsidR="00824E53" w:rsidRPr="00824E53" w:rsidRDefault="00824E53" w:rsidP="00824E53">
      <w:r w:rsidRPr="00824E53">
        <w:rPr>
          <w:b/>
          <w:bCs/>
        </w:rPr>
        <w:t>Partnership MOUs</w:t>
      </w:r>
      <w:r w:rsidRPr="00824E53">
        <w:t>:</w:t>
      </w:r>
    </w:p>
    <w:p w14:paraId="176CFA96" w14:textId="77777777" w:rsidR="00824E53" w:rsidRPr="00824E53" w:rsidRDefault="00824E53" w:rsidP="00824E53">
      <w:pPr>
        <w:numPr>
          <w:ilvl w:val="0"/>
          <w:numId w:val="8"/>
        </w:numPr>
      </w:pPr>
      <w:r w:rsidRPr="00824E53">
        <w:t>Draft Memorandums of Understanding (MOUs) outlining roles and responsibilities for key partners, including NCX, Paystar, and fleet operators.</w:t>
      </w:r>
    </w:p>
    <w:p w14:paraId="4AD60D88" w14:textId="77777777" w:rsidR="00824E53" w:rsidRPr="00824E53" w:rsidRDefault="00824E53" w:rsidP="00824E53">
      <w:r w:rsidRPr="00824E53">
        <w:rPr>
          <w:b/>
          <w:bCs/>
        </w:rPr>
        <w:t>Dispute Resolution</w:t>
      </w:r>
      <w:r w:rsidRPr="00824E53">
        <w:t>:</w:t>
      </w:r>
    </w:p>
    <w:p w14:paraId="10D1E75C" w14:textId="77777777" w:rsidR="00824E53" w:rsidRPr="00824E53" w:rsidRDefault="00824E53" w:rsidP="00824E53">
      <w:pPr>
        <w:numPr>
          <w:ilvl w:val="0"/>
          <w:numId w:val="9"/>
        </w:numPr>
      </w:pPr>
      <w:r w:rsidRPr="00824E53">
        <w:t>Establish an arbitration mechanism for resolving conflicts between users and WTS.</w:t>
      </w:r>
    </w:p>
    <w:p w14:paraId="5FA57CCD" w14:textId="77777777" w:rsidR="00824E53" w:rsidRPr="00824E53" w:rsidRDefault="00824E53" w:rsidP="00824E53">
      <w:pPr>
        <w:numPr>
          <w:ilvl w:val="0"/>
          <w:numId w:val="9"/>
        </w:numPr>
      </w:pPr>
      <w:r w:rsidRPr="00824E53">
        <w:t>Align dispute resolution processes with the AfCFTA dispute settlement protocol.</w:t>
      </w:r>
    </w:p>
    <w:p w14:paraId="6AB1B024" w14:textId="77777777" w:rsidR="00824E53" w:rsidRPr="00824E53" w:rsidRDefault="00824E53" w:rsidP="00824E53">
      <w:r w:rsidRPr="00824E53">
        <w:pict w14:anchorId="6685F4FF">
          <v:rect id="_x0000_i1163" style="width:0;height:1.5pt" o:hralign="center" o:hrstd="t" o:hr="t" fillcolor="#a0a0a0" stroked="f"/>
        </w:pict>
      </w:r>
    </w:p>
    <w:p w14:paraId="3DBF55F5" w14:textId="77777777" w:rsidR="00824E53" w:rsidRPr="00824E53" w:rsidRDefault="00824E53" w:rsidP="00824E53">
      <w:r w:rsidRPr="00824E53">
        <w:rPr>
          <w:b/>
          <w:bCs/>
        </w:rPr>
        <w:t>4. Tax and Revenue Compliance</w:t>
      </w:r>
    </w:p>
    <w:p w14:paraId="70515BA9" w14:textId="77777777" w:rsidR="00824E53" w:rsidRPr="00824E53" w:rsidRDefault="00824E53" w:rsidP="00824E53">
      <w:r w:rsidRPr="00824E53">
        <w:rPr>
          <w:b/>
          <w:bCs/>
        </w:rPr>
        <w:t>Local Taxation</w:t>
      </w:r>
      <w:r w:rsidRPr="00824E53">
        <w:t>:</w:t>
      </w:r>
    </w:p>
    <w:p w14:paraId="7C36636B" w14:textId="77777777" w:rsidR="00824E53" w:rsidRPr="00824E53" w:rsidRDefault="00824E53" w:rsidP="00824E53">
      <w:pPr>
        <w:numPr>
          <w:ilvl w:val="0"/>
          <w:numId w:val="10"/>
        </w:numPr>
      </w:pPr>
      <w:r w:rsidRPr="00824E53">
        <w:t>Register for tax obligations in all operational countries.</w:t>
      </w:r>
    </w:p>
    <w:p w14:paraId="4D90F7FB" w14:textId="77777777" w:rsidR="00824E53" w:rsidRPr="00824E53" w:rsidRDefault="00824E53" w:rsidP="00824E53">
      <w:pPr>
        <w:numPr>
          <w:ilvl w:val="0"/>
          <w:numId w:val="10"/>
        </w:numPr>
      </w:pPr>
      <w:r w:rsidRPr="00824E53">
        <w:t>Use automated systems to calculate and remit applicable taxes for platform transactions.</w:t>
      </w:r>
    </w:p>
    <w:p w14:paraId="4D86389E" w14:textId="77777777" w:rsidR="00824E53" w:rsidRPr="00824E53" w:rsidRDefault="00824E53" w:rsidP="00824E53">
      <w:r w:rsidRPr="00824E53">
        <w:rPr>
          <w:b/>
          <w:bCs/>
        </w:rPr>
        <w:t>Royalties</w:t>
      </w:r>
      <w:r w:rsidRPr="00824E53">
        <w:t>:</w:t>
      </w:r>
    </w:p>
    <w:p w14:paraId="3136D679" w14:textId="77777777" w:rsidR="00824E53" w:rsidRPr="00824E53" w:rsidRDefault="00824E53" w:rsidP="00824E53">
      <w:pPr>
        <w:numPr>
          <w:ilvl w:val="0"/>
          <w:numId w:val="11"/>
        </w:numPr>
      </w:pPr>
      <w:r w:rsidRPr="00824E53">
        <w:t>Collaborate with governments to ensure automated deduction and remittance of royalties for traded goods, particularly raw materials and minerals.</w:t>
      </w:r>
    </w:p>
    <w:p w14:paraId="1FCEA7F7" w14:textId="77777777" w:rsidR="00824E53" w:rsidRPr="00824E53" w:rsidRDefault="00824E53" w:rsidP="00824E53">
      <w:r w:rsidRPr="00824E53">
        <w:rPr>
          <w:b/>
          <w:bCs/>
        </w:rPr>
        <w:t>User Education</w:t>
      </w:r>
      <w:r w:rsidRPr="00824E53">
        <w:t>:</w:t>
      </w:r>
    </w:p>
    <w:p w14:paraId="560E778F" w14:textId="77777777" w:rsidR="00824E53" w:rsidRPr="00824E53" w:rsidRDefault="00824E53" w:rsidP="00824E53">
      <w:pPr>
        <w:numPr>
          <w:ilvl w:val="0"/>
          <w:numId w:val="12"/>
        </w:numPr>
      </w:pPr>
      <w:r w:rsidRPr="00824E53">
        <w:t>Provide resources to educate suppliers and buyers on their tax responsibilities.</w:t>
      </w:r>
    </w:p>
    <w:p w14:paraId="040D9812" w14:textId="77777777" w:rsidR="00824E53" w:rsidRPr="00824E53" w:rsidRDefault="00824E53" w:rsidP="00824E53">
      <w:r w:rsidRPr="00824E53">
        <w:pict w14:anchorId="3C14C21D">
          <v:rect id="_x0000_i1164" style="width:0;height:1.5pt" o:hralign="center" o:hrstd="t" o:hr="t" fillcolor="#a0a0a0" stroked="f"/>
        </w:pict>
      </w:r>
    </w:p>
    <w:p w14:paraId="188FAC54" w14:textId="77777777" w:rsidR="00824E53" w:rsidRPr="00824E53" w:rsidRDefault="00824E53" w:rsidP="00824E53">
      <w:r w:rsidRPr="00824E53">
        <w:rPr>
          <w:b/>
          <w:bCs/>
        </w:rPr>
        <w:t>5. Intellectual Property (IP) Protection</w:t>
      </w:r>
    </w:p>
    <w:p w14:paraId="5AD2D86C" w14:textId="77777777" w:rsidR="00824E53" w:rsidRPr="00824E53" w:rsidRDefault="00824E53" w:rsidP="00824E53">
      <w:r w:rsidRPr="00824E53">
        <w:rPr>
          <w:b/>
          <w:bCs/>
        </w:rPr>
        <w:t>Platform IP</w:t>
      </w:r>
      <w:r w:rsidRPr="00824E53">
        <w:t>:</w:t>
      </w:r>
    </w:p>
    <w:p w14:paraId="65C59321" w14:textId="77777777" w:rsidR="00824E53" w:rsidRPr="00824E53" w:rsidRDefault="00824E53" w:rsidP="00824E53">
      <w:pPr>
        <w:numPr>
          <w:ilvl w:val="0"/>
          <w:numId w:val="13"/>
        </w:numPr>
      </w:pPr>
      <w:r w:rsidRPr="00824E53">
        <w:t>Register trademarks and copyrights for WTS branding and software.</w:t>
      </w:r>
    </w:p>
    <w:p w14:paraId="67AA4868" w14:textId="77777777" w:rsidR="00824E53" w:rsidRPr="00824E53" w:rsidRDefault="00824E53" w:rsidP="00824E53">
      <w:pPr>
        <w:numPr>
          <w:ilvl w:val="0"/>
          <w:numId w:val="13"/>
        </w:numPr>
      </w:pPr>
      <w:r w:rsidRPr="00824E53">
        <w:t>Secure patents for unique logistics algorithms and AI-driven tools.</w:t>
      </w:r>
    </w:p>
    <w:p w14:paraId="0AA89B72" w14:textId="77777777" w:rsidR="00824E53" w:rsidRPr="00824E53" w:rsidRDefault="00824E53" w:rsidP="00824E53">
      <w:r w:rsidRPr="00824E53">
        <w:rPr>
          <w:b/>
          <w:bCs/>
        </w:rPr>
        <w:t>User IP</w:t>
      </w:r>
      <w:r w:rsidRPr="00824E53">
        <w:t>:</w:t>
      </w:r>
    </w:p>
    <w:p w14:paraId="016019D8" w14:textId="77777777" w:rsidR="00824E53" w:rsidRPr="00824E53" w:rsidRDefault="00824E53" w:rsidP="00824E53">
      <w:pPr>
        <w:numPr>
          <w:ilvl w:val="0"/>
          <w:numId w:val="14"/>
        </w:numPr>
      </w:pPr>
      <w:r w:rsidRPr="00824E53">
        <w:t>Protect user-uploaded content, such as trade listings and proprietary product details, under the platform’s IP policies.</w:t>
      </w:r>
    </w:p>
    <w:p w14:paraId="5ECC1423" w14:textId="77777777" w:rsidR="00824E53" w:rsidRPr="00824E53" w:rsidRDefault="00824E53" w:rsidP="00824E53">
      <w:r w:rsidRPr="00824E53">
        <w:pict w14:anchorId="0367A675">
          <v:rect id="_x0000_i1165" style="width:0;height:1.5pt" o:hralign="center" o:hrstd="t" o:hr="t" fillcolor="#a0a0a0" stroked="f"/>
        </w:pict>
      </w:r>
    </w:p>
    <w:p w14:paraId="562D640C" w14:textId="77777777" w:rsidR="00824E53" w:rsidRPr="00824E53" w:rsidRDefault="00824E53" w:rsidP="00824E53">
      <w:r w:rsidRPr="00824E53">
        <w:rPr>
          <w:b/>
          <w:bCs/>
        </w:rPr>
        <w:t>6. Risk Management in Compliance</w:t>
      </w:r>
    </w:p>
    <w:p w14:paraId="266403CB" w14:textId="77777777" w:rsidR="00824E53" w:rsidRPr="00824E53" w:rsidRDefault="00824E53" w:rsidP="00824E53">
      <w:r w:rsidRPr="00824E53">
        <w:rPr>
          <w:b/>
          <w:bCs/>
        </w:rPr>
        <w:t>Compliance Monitoring</w:t>
      </w:r>
      <w:r w:rsidRPr="00824E53">
        <w:t>:</w:t>
      </w:r>
    </w:p>
    <w:p w14:paraId="65F237A5" w14:textId="77777777" w:rsidR="00824E53" w:rsidRPr="00824E53" w:rsidRDefault="00824E53" w:rsidP="00824E53">
      <w:pPr>
        <w:numPr>
          <w:ilvl w:val="0"/>
          <w:numId w:val="15"/>
        </w:numPr>
      </w:pPr>
      <w:r w:rsidRPr="00824E53">
        <w:t>Establish a compliance team to oversee adherence to all regulatory frameworks.</w:t>
      </w:r>
    </w:p>
    <w:p w14:paraId="184D97ED" w14:textId="77777777" w:rsidR="00824E53" w:rsidRPr="00824E53" w:rsidRDefault="00824E53" w:rsidP="00824E53">
      <w:pPr>
        <w:numPr>
          <w:ilvl w:val="0"/>
          <w:numId w:val="15"/>
        </w:numPr>
      </w:pPr>
      <w:r w:rsidRPr="00824E53">
        <w:t>Use compliance software to track, report, and address potential violations.</w:t>
      </w:r>
    </w:p>
    <w:p w14:paraId="73CA108C" w14:textId="77777777" w:rsidR="00824E53" w:rsidRPr="00824E53" w:rsidRDefault="00824E53" w:rsidP="00824E53">
      <w:r w:rsidRPr="00824E53">
        <w:rPr>
          <w:b/>
          <w:bCs/>
        </w:rPr>
        <w:t>Insurance Coverage</w:t>
      </w:r>
      <w:r w:rsidRPr="00824E53">
        <w:t>:</w:t>
      </w:r>
    </w:p>
    <w:p w14:paraId="29E9C691" w14:textId="77777777" w:rsidR="00824E53" w:rsidRPr="00824E53" w:rsidRDefault="00824E53" w:rsidP="00824E53">
      <w:pPr>
        <w:numPr>
          <w:ilvl w:val="0"/>
          <w:numId w:val="16"/>
        </w:numPr>
      </w:pPr>
      <w:r w:rsidRPr="00824E53">
        <w:t>Partner with Paystar to provide insurance for goods-in-transit and operational risks.</w:t>
      </w:r>
    </w:p>
    <w:p w14:paraId="08737E53" w14:textId="77777777" w:rsidR="00824E53" w:rsidRPr="00824E53" w:rsidRDefault="00824E53" w:rsidP="00824E53">
      <w:pPr>
        <w:numPr>
          <w:ilvl w:val="0"/>
          <w:numId w:val="16"/>
        </w:numPr>
      </w:pPr>
      <w:r w:rsidRPr="00824E53">
        <w:t>Secure liability insurance for platform-related legal challenges.</w:t>
      </w:r>
    </w:p>
    <w:p w14:paraId="51C1DADE" w14:textId="77777777" w:rsidR="00824E53" w:rsidRPr="00824E53" w:rsidRDefault="00824E53" w:rsidP="00824E53">
      <w:r w:rsidRPr="00824E53">
        <w:rPr>
          <w:b/>
          <w:bCs/>
        </w:rPr>
        <w:t>Audits and Reviews</w:t>
      </w:r>
      <w:r w:rsidRPr="00824E53">
        <w:t>:</w:t>
      </w:r>
    </w:p>
    <w:p w14:paraId="14F650A4" w14:textId="77777777" w:rsidR="00824E53" w:rsidRPr="00824E53" w:rsidRDefault="00824E53" w:rsidP="00824E53">
      <w:pPr>
        <w:numPr>
          <w:ilvl w:val="0"/>
          <w:numId w:val="17"/>
        </w:numPr>
      </w:pPr>
      <w:r w:rsidRPr="00824E53">
        <w:t>Conduct biannual compliance audits with third-party legal experts.</w:t>
      </w:r>
    </w:p>
    <w:p w14:paraId="48805CD3" w14:textId="77777777" w:rsidR="00824E53" w:rsidRPr="00824E53" w:rsidRDefault="00824E53" w:rsidP="00824E53">
      <w:pPr>
        <w:numPr>
          <w:ilvl w:val="0"/>
          <w:numId w:val="17"/>
        </w:numPr>
      </w:pPr>
      <w:r w:rsidRPr="00824E53">
        <w:t>Use audit results to refine policies and address identified gaps.</w:t>
      </w:r>
    </w:p>
    <w:p w14:paraId="7F75DBCC" w14:textId="77777777" w:rsidR="00824E53" w:rsidRPr="00824E53" w:rsidRDefault="00824E53" w:rsidP="00824E53">
      <w:r w:rsidRPr="00824E53">
        <w:pict w14:anchorId="3A699AC4">
          <v:rect id="_x0000_i1166" style="width:0;height:1.5pt" o:hralign="center" o:hrstd="t" o:hr="t" fillcolor="#a0a0a0" stroked="f"/>
        </w:pict>
      </w:r>
    </w:p>
    <w:p w14:paraId="677E1672" w14:textId="77777777" w:rsidR="00824E53" w:rsidRPr="00824E53" w:rsidRDefault="00824E53" w:rsidP="00824E53">
      <w:r w:rsidRPr="00824E53">
        <w:rPr>
          <w:b/>
          <w:bCs/>
        </w:rPr>
        <w:t>7. User Support for Legal Issues</w:t>
      </w:r>
    </w:p>
    <w:p w14:paraId="6B2FFEA2" w14:textId="77777777" w:rsidR="00824E53" w:rsidRPr="00824E53" w:rsidRDefault="00824E53" w:rsidP="00824E53">
      <w:r w:rsidRPr="00824E53">
        <w:rPr>
          <w:b/>
          <w:bCs/>
        </w:rPr>
        <w:t>Dedicated Helpline</w:t>
      </w:r>
      <w:r w:rsidRPr="00824E53">
        <w:t>:</w:t>
      </w:r>
    </w:p>
    <w:p w14:paraId="2B488A48" w14:textId="77777777" w:rsidR="00824E53" w:rsidRPr="00824E53" w:rsidRDefault="00824E53" w:rsidP="00824E53">
      <w:pPr>
        <w:numPr>
          <w:ilvl w:val="0"/>
          <w:numId w:val="18"/>
        </w:numPr>
      </w:pPr>
      <w:r w:rsidRPr="00824E53">
        <w:t>Provide users with a legal support helpline for inquiries related to platform operations.</w:t>
      </w:r>
    </w:p>
    <w:p w14:paraId="18EDC8B2" w14:textId="77777777" w:rsidR="00824E53" w:rsidRPr="00824E53" w:rsidRDefault="00824E53" w:rsidP="00824E53">
      <w:r w:rsidRPr="00824E53">
        <w:rPr>
          <w:b/>
          <w:bCs/>
        </w:rPr>
        <w:t>Dispute Documentation</w:t>
      </w:r>
      <w:r w:rsidRPr="00824E53">
        <w:t>:</w:t>
      </w:r>
    </w:p>
    <w:p w14:paraId="753914A6" w14:textId="77777777" w:rsidR="00824E53" w:rsidRPr="00824E53" w:rsidRDefault="00824E53" w:rsidP="00824E53">
      <w:pPr>
        <w:numPr>
          <w:ilvl w:val="0"/>
          <w:numId w:val="19"/>
        </w:numPr>
      </w:pPr>
      <w:r w:rsidRPr="00824E53">
        <w:t>Offer templates for filing complaints or disputes with WTS.</w:t>
      </w:r>
    </w:p>
    <w:p w14:paraId="29DA2927" w14:textId="77777777" w:rsidR="00824E53" w:rsidRPr="00824E53" w:rsidRDefault="00824E53" w:rsidP="00824E53">
      <w:pPr>
        <w:numPr>
          <w:ilvl w:val="0"/>
          <w:numId w:val="19"/>
        </w:numPr>
      </w:pPr>
      <w:r w:rsidRPr="00824E53">
        <w:t>Maintain a transparent log of all reported issues and resolutions.</w:t>
      </w:r>
    </w:p>
    <w:p w14:paraId="316998F5" w14:textId="77777777" w:rsidR="00824E53" w:rsidRPr="00824E53" w:rsidRDefault="00824E53" w:rsidP="00824E53">
      <w:r w:rsidRPr="00824E53">
        <w:rPr>
          <w:b/>
          <w:bCs/>
        </w:rPr>
        <w:t>Training Programs</w:t>
      </w:r>
      <w:r w:rsidRPr="00824E53">
        <w:t>:</w:t>
      </w:r>
    </w:p>
    <w:p w14:paraId="3B1DB609" w14:textId="77777777" w:rsidR="00824E53" w:rsidRPr="00824E53" w:rsidRDefault="00824E53" w:rsidP="00824E53">
      <w:pPr>
        <w:numPr>
          <w:ilvl w:val="0"/>
          <w:numId w:val="20"/>
        </w:numPr>
      </w:pPr>
      <w:r w:rsidRPr="00824E53">
        <w:t>Host webinars on legal literacy for suppliers, buyers, and logistics operators.</w:t>
      </w:r>
    </w:p>
    <w:p w14:paraId="7DDD5899" w14:textId="77777777" w:rsidR="00824E53" w:rsidRPr="00824E53" w:rsidRDefault="00824E53" w:rsidP="00824E53">
      <w:r w:rsidRPr="00824E53">
        <w:pict w14:anchorId="006316E4">
          <v:rect id="_x0000_i1167" style="width:0;height:1.5pt" o:hralign="center" o:hrstd="t" o:hr="t" fillcolor="#a0a0a0" stroked="f"/>
        </w:pict>
      </w:r>
    </w:p>
    <w:p w14:paraId="2F9CE3EA" w14:textId="77777777" w:rsidR="00824E53" w:rsidRPr="00824E53" w:rsidRDefault="00824E53" w:rsidP="00824E53">
      <w:r w:rsidRPr="00824E53">
        <w:rPr>
          <w:b/>
          <w:bCs/>
        </w:rPr>
        <w:t>Key Metrics</w:t>
      </w:r>
    </w:p>
    <w:p w14:paraId="30E04513" w14:textId="77777777" w:rsidR="00824E53" w:rsidRPr="00824E53" w:rsidRDefault="00824E53" w:rsidP="00824E53">
      <w:pPr>
        <w:numPr>
          <w:ilvl w:val="0"/>
          <w:numId w:val="21"/>
        </w:numPr>
      </w:pPr>
      <w:r w:rsidRPr="00824E53">
        <w:t>Number of successfully completed audits.</w:t>
      </w:r>
    </w:p>
    <w:p w14:paraId="26C6C52B" w14:textId="77777777" w:rsidR="00824E53" w:rsidRPr="00824E53" w:rsidRDefault="00824E53" w:rsidP="00824E53">
      <w:pPr>
        <w:numPr>
          <w:ilvl w:val="0"/>
          <w:numId w:val="21"/>
        </w:numPr>
      </w:pPr>
      <w:r w:rsidRPr="00824E53">
        <w:t>Percentage of users acknowledging compliance with platform policies.</w:t>
      </w:r>
    </w:p>
    <w:p w14:paraId="3286BF3D" w14:textId="77777777" w:rsidR="00824E53" w:rsidRPr="00824E53" w:rsidRDefault="00824E53" w:rsidP="00824E53">
      <w:pPr>
        <w:numPr>
          <w:ilvl w:val="0"/>
          <w:numId w:val="21"/>
        </w:numPr>
      </w:pPr>
      <w:r w:rsidRPr="00824E53">
        <w:t>Time to resolve reported compliance violations.</w:t>
      </w:r>
    </w:p>
    <w:p w14:paraId="76635EF9" w14:textId="77777777" w:rsidR="00824E53" w:rsidRPr="00824E53" w:rsidRDefault="00824E53" w:rsidP="00824E53">
      <w:r w:rsidRPr="00824E53">
        <w:pict w14:anchorId="7471D974">
          <v:rect id="_x0000_i1168" style="width:0;height:1.5pt" o:hralign="center" o:hrstd="t" o:hr="t" fillcolor="#a0a0a0" stroked="f"/>
        </w:pict>
      </w:r>
    </w:p>
    <w:p w14:paraId="5D3F722A" w14:textId="77777777" w:rsidR="00824E53" w:rsidRPr="00824E53" w:rsidRDefault="00824E53" w:rsidP="00824E53">
      <w:r w:rsidRPr="00824E53">
        <w:rPr>
          <w:b/>
          <w:bCs/>
        </w:rPr>
        <w:t>Conclusion</w:t>
      </w:r>
      <w:r w:rsidRPr="00824E53">
        <w:t xml:space="preserve"> The Compliance and Legal Framework ensures WTS operates within all legal parameters while fostering trust among users and stakeholders. By adhering to regional and international standards, WTS safeguards its operations and contributes to a regulated, efficient trade ecosystem.</w:t>
      </w:r>
    </w:p>
    <w:p w14:paraId="124BAE13" w14:textId="77777777" w:rsidR="00864360" w:rsidRDefault="00864360">
      <w:bookmarkStart w:id="0" w:name="_GoBack"/>
      <w:bookmarkEnd w:id="0"/>
    </w:p>
    <w:sectPr w:rsidR="00864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246"/>
    <w:multiLevelType w:val="multilevel"/>
    <w:tmpl w:val="135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B69C0"/>
    <w:multiLevelType w:val="multilevel"/>
    <w:tmpl w:val="811C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63425"/>
    <w:multiLevelType w:val="multilevel"/>
    <w:tmpl w:val="5FD2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7274B"/>
    <w:multiLevelType w:val="multilevel"/>
    <w:tmpl w:val="621E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25E0D"/>
    <w:multiLevelType w:val="multilevel"/>
    <w:tmpl w:val="DD5C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62209"/>
    <w:multiLevelType w:val="multilevel"/>
    <w:tmpl w:val="B456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C0ECF"/>
    <w:multiLevelType w:val="multilevel"/>
    <w:tmpl w:val="8FB8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D6DB0"/>
    <w:multiLevelType w:val="multilevel"/>
    <w:tmpl w:val="77AC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A3940"/>
    <w:multiLevelType w:val="multilevel"/>
    <w:tmpl w:val="15361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66792"/>
    <w:multiLevelType w:val="multilevel"/>
    <w:tmpl w:val="37A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C09F8"/>
    <w:multiLevelType w:val="multilevel"/>
    <w:tmpl w:val="398E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55368"/>
    <w:multiLevelType w:val="multilevel"/>
    <w:tmpl w:val="13B2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585C53"/>
    <w:multiLevelType w:val="multilevel"/>
    <w:tmpl w:val="5CFA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72A8D"/>
    <w:multiLevelType w:val="multilevel"/>
    <w:tmpl w:val="4E98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E55002"/>
    <w:multiLevelType w:val="multilevel"/>
    <w:tmpl w:val="63C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60B04"/>
    <w:multiLevelType w:val="multilevel"/>
    <w:tmpl w:val="749C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852F6"/>
    <w:multiLevelType w:val="multilevel"/>
    <w:tmpl w:val="F01E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834927"/>
    <w:multiLevelType w:val="multilevel"/>
    <w:tmpl w:val="3C9CC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5E4591"/>
    <w:multiLevelType w:val="multilevel"/>
    <w:tmpl w:val="287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0563A2"/>
    <w:multiLevelType w:val="multilevel"/>
    <w:tmpl w:val="0E8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00A12"/>
    <w:multiLevelType w:val="multilevel"/>
    <w:tmpl w:val="252A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4"/>
  </w:num>
  <w:num w:numId="3">
    <w:abstractNumId w:val="4"/>
  </w:num>
  <w:num w:numId="4">
    <w:abstractNumId w:val="7"/>
  </w:num>
  <w:num w:numId="5">
    <w:abstractNumId w:val="11"/>
  </w:num>
  <w:num w:numId="6">
    <w:abstractNumId w:val="3"/>
  </w:num>
  <w:num w:numId="7">
    <w:abstractNumId w:val="9"/>
  </w:num>
  <w:num w:numId="8">
    <w:abstractNumId w:val="6"/>
  </w:num>
  <w:num w:numId="9">
    <w:abstractNumId w:val="19"/>
  </w:num>
  <w:num w:numId="10">
    <w:abstractNumId w:val="10"/>
  </w:num>
  <w:num w:numId="11">
    <w:abstractNumId w:val="13"/>
  </w:num>
  <w:num w:numId="12">
    <w:abstractNumId w:val="16"/>
  </w:num>
  <w:num w:numId="13">
    <w:abstractNumId w:val="5"/>
  </w:num>
  <w:num w:numId="14">
    <w:abstractNumId w:val="2"/>
  </w:num>
  <w:num w:numId="15">
    <w:abstractNumId w:val="20"/>
  </w:num>
  <w:num w:numId="16">
    <w:abstractNumId w:val="18"/>
  </w:num>
  <w:num w:numId="17">
    <w:abstractNumId w:val="15"/>
  </w:num>
  <w:num w:numId="18">
    <w:abstractNumId w:val="0"/>
  </w:num>
  <w:num w:numId="19">
    <w:abstractNumId w:val="12"/>
  </w:num>
  <w:num w:numId="20">
    <w:abstractNumId w:val="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53"/>
    <w:rsid w:val="00824E53"/>
    <w:rsid w:val="0086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E153"/>
  <w15:chartTrackingRefBased/>
  <w15:docId w15:val="{C8FD9854-DE09-4733-9A83-AC881532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913879">
      <w:bodyDiv w:val="1"/>
      <w:marLeft w:val="0"/>
      <w:marRight w:val="0"/>
      <w:marTop w:val="0"/>
      <w:marBottom w:val="0"/>
      <w:divBdr>
        <w:top w:val="none" w:sz="0" w:space="0" w:color="auto"/>
        <w:left w:val="none" w:sz="0" w:space="0" w:color="auto"/>
        <w:bottom w:val="none" w:sz="0" w:space="0" w:color="auto"/>
        <w:right w:val="none" w:sz="0" w:space="0" w:color="auto"/>
      </w:divBdr>
      <w:divsChild>
        <w:div w:id="1831558493">
          <w:marLeft w:val="0"/>
          <w:marRight w:val="0"/>
          <w:marTop w:val="0"/>
          <w:marBottom w:val="0"/>
          <w:divBdr>
            <w:top w:val="none" w:sz="0" w:space="0" w:color="auto"/>
            <w:left w:val="none" w:sz="0" w:space="0" w:color="auto"/>
            <w:bottom w:val="none" w:sz="0" w:space="0" w:color="auto"/>
            <w:right w:val="none" w:sz="0" w:space="0" w:color="auto"/>
          </w:divBdr>
        </w:div>
        <w:div w:id="1800998628">
          <w:marLeft w:val="0"/>
          <w:marRight w:val="0"/>
          <w:marTop w:val="0"/>
          <w:marBottom w:val="0"/>
          <w:divBdr>
            <w:top w:val="none" w:sz="0" w:space="0" w:color="auto"/>
            <w:left w:val="none" w:sz="0" w:space="0" w:color="auto"/>
            <w:bottom w:val="none" w:sz="0" w:space="0" w:color="auto"/>
            <w:right w:val="none" w:sz="0" w:space="0" w:color="auto"/>
          </w:divBdr>
        </w:div>
        <w:div w:id="622922713">
          <w:marLeft w:val="0"/>
          <w:marRight w:val="0"/>
          <w:marTop w:val="0"/>
          <w:marBottom w:val="0"/>
          <w:divBdr>
            <w:top w:val="none" w:sz="0" w:space="0" w:color="auto"/>
            <w:left w:val="none" w:sz="0" w:space="0" w:color="auto"/>
            <w:bottom w:val="none" w:sz="0" w:space="0" w:color="auto"/>
            <w:right w:val="none" w:sz="0" w:space="0" w:color="auto"/>
          </w:divBdr>
        </w:div>
        <w:div w:id="2049333611">
          <w:marLeft w:val="0"/>
          <w:marRight w:val="0"/>
          <w:marTop w:val="0"/>
          <w:marBottom w:val="0"/>
          <w:divBdr>
            <w:top w:val="none" w:sz="0" w:space="0" w:color="auto"/>
            <w:left w:val="none" w:sz="0" w:space="0" w:color="auto"/>
            <w:bottom w:val="none" w:sz="0" w:space="0" w:color="auto"/>
            <w:right w:val="none" w:sz="0" w:space="0" w:color="auto"/>
          </w:divBdr>
        </w:div>
        <w:div w:id="828449715">
          <w:marLeft w:val="0"/>
          <w:marRight w:val="0"/>
          <w:marTop w:val="0"/>
          <w:marBottom w:val="0"/>
          <w:divBdr>
            <w:top w:val="none" w:sz="0" w:space="0" w:color="auto"/>
            <w:left w:val="none" w:sz="0" w:space="0" w:color="auto"/>
            <w:bottom w:val="none" w:sz="0" w:space="0" w:color="auto"/>
            <w:right w:val="none" w:sz="0" w:space="0" w:color="auto"/>
          </w:divBdr>
        </w:div>
        <w:div w:id="1652053758">
          <w:marLeft w:val="0"/>
          <w:marRight w:val="0"/>
          <w:marTop w:val="0"/>
          <w:marBottom w:val="0"/>
          <w:divBdr>
            <w:top w:val="none" w:sz="0" w:space="0" w:color="auto"/>
            <w:left w:val="none" w:sz="0" w:space="0" w:color="auto"/>
            <w:bottom w:val="none" w:sz="0" w:space="0" w:color="auto"/>
            <w:right w:val="none" w:sz="0" w:space="0" w:color="auto"/>
          </w:divBdr>
        </w:div>
        <w:div w:id="77144379">
          <w:marLeft w:val="0"/>
          <w:marRight w:val="0"/>
          <w:marTop w:val="0"/>
          <w:marBottom w:val="0"/>
          <w:divBdr>
            <w:top w:val="none" w:sz="0" w:space="0" w:color="auto"/>
            <w:left w:val="none" w:sz="0" w:space="0" w:color="auto"/>
            <w:bottom w:val="none" w:sz="0" w:space="0" w:color="auto"/>
            <w:right w:val="none" w:sz="0" w:space="0" w:color="auto"/>
          </w:divBdr>
        </w:div>
        <w:div w:id="1092430151">
          <w:marLeft w:val="0"/>
          <w:marRight w:val="0"/>
          <w:marTop w:val="0"/>
          <w:marBottom w:val="0"/>
          <w:divBdr>
            <w:top w:val="none" w:sz="0" w:space="0" w:color="auto"/>
            <w:left w:val="none" w:sz="0" w:space="0" w:color="auto"/>
            <w:bottom w:val="none" w:sz="0" w:space="0" w:color="auto"/>
            <w:right w:val="none" w:sz="0" w:space="0" w:color="auto"/>
          </w:divBdr>
        </w:div>
        <w:div w:id="1699164354">
          <w:marLeft w:val="0"/>
          <w:marRight w:val="0"/>
          <w:marTop w:val="0"/>
          <w:marBottom w:val="0"/>
          <w:divBdr>
            <w:top w:val="none" w:sz="0" w:space="0" w:color="auto"/>
            <w:left w:val="none" w:sz="0" w:space="0" w:color="auto"/>
            <w:bottom w:val="none" w:sz="0" w:space="0" w:color="auto"/>
            <w:right w:val="none" w:sz="0" w:space="0" w:color="auto"/>
          </w:divBdr>
        </w:div>
      </w:divsChild>
    </w:div>
    <w:div w:id="1725522204">
      <w:bodyDiv w:val="1"/>
      <w:marLeft w:val="0"/>
      <w:marRight w:val="0"/>
      <w:marTop w:val="0"/>
      <w:marBottom w:val="0"/>
      <w:divBdr>
        <w:top w:val="none" w:sz="0" w:space="0" w:color="auto"/>
        <w:left w:val="none" w:sz="0" w:space="0" w:color="auto"/>
        <w:bottom w:val="none" w:sz="0" w:space="0" w:color="auto"/>
        <w:right w:val="none" w:sz="0" w:space="0" w:color="auto"/>
      </w:divBdr>
      <w:divsChild>
        <w:div w:id="1186018839">
          <w:marLeft w:val="0"/>
          <w:marRight w:val="0"/>
          <w:marTop w:val="0"/>
          <w:marBottom w:val="0"/>
          <w:divBdr>
            <w:top w:val="none" w:sz="0" w:space="0" w:color="auto"/>
            <w:left w:val="none" w:sz="0" w:space="0" w:color="auto"/>
            <w:bottom w:val="none" w:sz="0" w:space="0" w:color="auto"/>
            <w:right w:val="none" w:sz="0" w:space="0" w:color="auto"/>
          </w:divBdr>
        </w:div>
        <w:div w:id="614673289">
          <w:marLeft w:val="0"/>
          <w:marRight w:val="0"/>
          <w:marTop w:val="0"/>
          <w:marBottom w:val="0"/>
          <w:divBdr>
            <w:top w:val="none" w:sz="0" w:space="0" w:color="auto"/>
            <w:left w:val="none" w:sz="0" w:space="0" w:color="auto"/>
            <w:bottom w:val="none" w:sz="0" w:space="0" w:color="auto"/>
            <w:right w:val="none" w:sz="0" w:space="0" w:color="auto"/>
          </w:divBdr>
        </w:div>
        <w:div w:id="329793866">
          <w:marLeft w:val="0"/>
          <w:marRight w:val="0"/>
          <w:marTop w:val="0"/>
          <w:marBottom w:val="0"/>
          <w:divBdr>
            <w:top w:val="none" w:sz="0" w:space="0" w:color="auto"/>
            <w:left w:val="none" w:sz="0" w:space="0" w:color="auto"/>
            <w:bottom w:val="none" w:sz="0" w:space="0" w:color="auto"/>
            <w:right w:val="none" w:sz="0" w:space="0" w:color="auto"/>
          </w:divBdr>
        </w:div>
        <w:div w:id="1045180491">
          <w:marLeft w:val="0"/>
          <w:marRight w:val="0"/>
          <w:marTop w:val="0"/>
          <w:marBottom w:val="0"/>
          <w:divBdr>
            <w:top w:val="none" w:sz="0" w:space="0" w:color="auto"/>
            <w:left w:val="none" w:sz="0" w:space="0" w:color="auto"/>
            <w:bottom w:val="none" w:sz="0" w:space="0" w:color="auto"/>
            <w:right w:val="none" w:sz="0" w:space="0" w:color="auto"/>
          </w:divBdr>
        </w:div>
        <w:div w:id="848449923">
          <w:marLeft w:val="0"/>
          <w:marRight w:val="0"/>
          <w:marTop w:val="0"/>
          <w:marBottom w:val="0"/>
          <w:divBdr>
            <w:top w:val="none" w:sz="0" w:space="0" w:color="auto"/>
            <w:left w:val="none" w:sz="0" w:space="0" w:color="auto"/>
            <w:bottom w:val="none" w:sz="0" w:space="0" w:color="auto"/>
            <w:right w:val="none" w:sz="0" w:space="0" w:color="auto"/>
          </w:divBdr>
        </w:div>
        <w:div w:id="122771145">
          <w:marLeft w:val="0"/>
          <w:marRight w:val="0"/>
          <w:marTop w:val="0"/>
          <w:marBottom w:val="0"/>
          <w:divBdr>
            <w:top w:val="none" w:sz="0" w:space="0" w:color="auto"/>
            <w:left w:val="none" w:sz="0" w:space="0" w:color="auto"/>
            <w:bottom w:val="none" w:sz="0" w:space="0" w:color="auto"/>
            <w:right w:val="none" w:sz="0" w:space="0" w:color="auto"/>
          </w:divBdr>
        </w:div>
        <w:div w:id="618223826">
          <w:marLeft w:val="0"/>
          <w:marRight w:val="0"/>
          <w:marTop w:val="0"/>
          <w:marBottom w:val="0"/>
          <w:divBdr>
            <w:top w:val="none" w:sz="0" w:space="0" w:color="auto"/>
            <w:left w:val="none" w:sz="0" w:space="0" w:color="auto"/>
            <w:bottom w:val="none" w:sz="0" w:space="0" w:color="auto"/>
            <w:right w:val="none" w:sz="0" w:space="0" w:color="auto"/>
          </w:divBdr>
        </w:div>
        <w:div w:id="1592228999">
          <w:marLeft w:val="0"/>
          <w:marRight w:val="0"/>
          <w:marTop w:val="0"/>
          <w:marBottom w:val="0"/>
          <w:divBdr>
            <w:top w:val="none" w:sz="0" w:space="0" w:color="auto"/>
            <w:left w:val="none" w:sz="0" w:space="0" w:color="auto"/>
            <w:bottom w:val="none" w:sz="0" w:space="0" w:color="auto"/>
            <w:right w:val="none" w:sz="0" w:space="0" w:color="auto"/>
          </w:divBdr>
        </w:div>
        <w:div w:id="58986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Ikoku</dc:creator>
  <cp:keywords/>
  <dc:description/>
  <cp:lastModifiedBy>Michael Ikoku</cp:lastModifiedBy>
  <cp:revision>1</cp:revision>
  <dcterms:created xsi:type="dcterms:W3CDTF">2024-12-30T02:22:00Z</dcterms:created>
  <dcterms:modified xsi:type="dcterms:W3CDTF">2024-12-30T02:22:00Z</dcterms:modified>
</cp:coreProperties>
</file>