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57971" w14:textId="77777777" w:rsidR="00D45CEC" w:rsidRPr="00D45CEC" w:rsidRDefault="00D45CEC" w:rsidP="00D45CEC">
      <w:r w:rsidRPr="00D45CEC">
        <w:rPr>
          <w:b/>
          <w:bCs/>
        </w:rPr>
        <w:t>Financial Projections for Walking the Sahel (WTS)</w:t>
      </w:r>
    </w:p>
    <w:p w14:paraId="7D308C49" w14:textId="77777777" w:rsidR="00D45CEC" w:rsidRPr="00D45CEC" w:rsidRDefault="00D45CEC" w:rsidP="00D45CEC">
      <w:r w:rsidRPr="00D45CEC">
        <w:rPr>
          <w:b/>
          <w:bCs/>
        </w:rPr>
        <w:t>Overview</w:t>
      </w:r>
      <w:r w:rsidRPr="00D45CEC">
        <w:t xml:space="preserve"> Walking the Sahel (WTS) targets significant growth in Africa’s trade ecosystem by leveraging its logistics and marketplace solutions. This financial projection outlines the expected revenue, costs, and profitability across three phases of growth.</w:t>
      </w:r>
    </w:p>
    <w:p w14:paraId="4A82BB1D" w14:textId="77777777" w:rsidR="00D45CEC" w:rsidRPr="00D45CEC" w:rsidRDefault="00D45CEC" w:rsidP="00D45CEC">
      <w:r w:rsidRPr="00D45CEC">
        <w:pict w14:anchorId="57C6D72C">
          <v:rect id="_x0000_i1115" style="width:0;height:1.5pt" o:hralign="center" o:hrstd="t" o:hr="t" fillcolor="#a0a0a0" stroked="f"/>
        </w:pict>
      </w:r>
    </w:p>
    <w:p w14:paraId="14512546" w14:textId="77777777" w:rsidR="00D45CEC" w:rsidRPr="00D45CEC" w:rsidRDefault="00D45CEC" w:rsidP="00D45CEC">
      <w:r w:rsidRPr="00D45CEC">
        <w:rPr>
          <w:b/>
          <w:bCs/>
        </w:rPr>
        <w:t>Phase 1: Pilot and Regional Establishment (Year 1-2)</w:t>
      </w:r>
    </w:p>
    <w:p w14:paraId="080FAAD3" w14:textId="77777777" w:rsidR="00D45CEC" w:rsidRPr="00D45CEC" w:rsidRDefault="00D45CEC" w:rsidP="00D45CEC">
      <w:r w:rsidRPr="00D45CEC">
        <w:rPr>
          <w:b/>
          <w:bCs/>
        </w:rPr>
        <w:t>Revenue Streams</w:t>
      </w:r>
      <w:r w:rsidRPr="00D45CEC">
        <w:t>:</w:t>
      </w:r>
    </w:p>
    <w:p w14:paraId="5C192390" w14:textId="77777777" w:rsidR="00D45CEC" w:rsidRPr="00D45CEC" w:rsidRDefault="00D45CEC" w:rsidP="00D45CEC">
      <w:pPr>
        <w:numPr>
          <w:ilvl w:val="0"/>
          <w:numId w:val="1"/>
        </w:numPr>
      </w:pPr>
      <w:r w:rsidRPr="00D45CEC">
        <w:rPr>
          <w:b/>
          <w:bCs/>
        </w:rPr>
        <w:t>Transaction Commission</w:t>
      </w:r>
      <w:r w:rsidRPr="00D45CEC">
        <w:t>:</w:t>
      </w:r>
    </w:p>
    <w:p w14:paraId="4B762D05" w14:textId="77777777" w:rsidR="00D45CEC" w:rsidRPr="00D45CEC" w:rsidRDefault="00D45CEC" w:rsidP="00D45CEC">
      <w:pPr>
        <w:numPr>
          <w:ilvl w:val="1"/>
          <w:numId w:val="1"/>
        </w:numPr>
      </w:pPr>
      <w:r w:rsidRPr="00D45CEC">
        <w:t>Market size: $150 billion (intra-African trade).</w:t>
      </w:r>
    </w:p>
    <w:p w14:paraId="0FA9ED44" w14:textId="77777777" w:rsidR="00D45CEC" w:rsidRPr="00D45CEC" w:rsidRDefault="00D45CEC" w:rsidP="00D45CEC">
      <w:pPr>
        <w:numPr>
          <w:ilvl w:val="1"/>
          <w:numId w:val="1"/>
        </w:numPr>
      </w:pPr>
      <w:r w:rsidRPr="00D45CEC">
        <w:t>WTS target market share: 0.5%.</w:t>
      </w:r>
    </w:p>
    <w:p w14:paraId="04FFF205" w14:textId="77777777" w:rsidR="00D45CEC" w:rsidRPr="00D45CEC" w:rsidRDefault="00D45CEC" w:rsidP="00D45CEC">
      <w:pPr>
        <w:numPr>
          <w:ilvl w:val="1"/>
          <w:numId w:val="1"/>
        </w:numPr>
      </w:pPr>
      <w:r w:rsidRPr="00D45CEC">
        <w:t>Commission rate: 1%.</w:t>
      </w:r>
    </w:p>
    <w:p w14:paraId="69F452A6" w14:textId="77777777" w:rsidR="00D45CEC" w:rsidRPr="00D45CEC" w:rsidRDefault="00D45CEC" w:rsidP="00D45CEC">
      <w:pPr>
        <w:numPr>
          <w:ilvl w:val="1"/>
          <w:numId w:val="1"/>
        </w:numPr>
      </w:pPr>
      <w:r w:rsidRPr="00D45CEC">
        <w:t>Projected revenue: $7.5 million/year.</w:t>
      </w:r>
    </w:p>
    <w:p w14:paraId="5D13AA48" w14:textId="77777777" w:rsidR="00D45CEC" w:rsidRPr="00D45CEC" w:rsidRDefault="00D45CEC" w:rsidP="00D45CEC">
      <w:pPr>
        <w:numPr>
          <w:ilvl w:val="0"/>
          <w:numId w:val="1"/>
        </w:numPr>
      </w:pPr>
      <w:r w:rsidRPr="00D45CEC">
        <w:rPr>
          <w:b/>
          <w:bCs/>
        </w:rPr>
        <w:t>Logistics Fees</w:t>
      </w:r>
      <w:r w:rsidRPr="00D45CEC">
        <w:t>:</w:t>
      </w:r>
    </w:p>
    <w:p w14:paraId="56786F49" w14:textId="77777777" w:rsidR="00D45CEC" w:rsidRPr="00D45CEC" w:rsidRDefault="00D45CEC" w:rsidP="00D45CEC">
      <w:pPr>
        <w:numPr>
          <w:ilvl w:val="1"/>
          <w:numId w:val="1"/>
        </w:numPr>
      </w:pPr>
      <w:r w:rsidRPr="00D45CEC">
        <w:t>Share of transactions using WTS logistics: 30%.</w:t>
      </w:r>
    </w:p>
    <w:p w14:paraId="65522945" w14:textId="77777777" w:rsidR="00D45CEC" w:rsidRPr="00D45CEC" w:rsidRDefault="00D45CEC" w:rsidP="00D45CEC">
      <w:pPr>
        <w:numPr>
          <w:ilvl w:val="1"/>
          <w:numId w:val="1"/>
        </w:numPr>
      </w:pPr>
      <w:r w:rsidRPr="00D45CEC">
        <w:t>Average logistics fee: 3%.</w:t>
      </w:r>
    </w:p>
    <w:p w14:paraId="1C062F89" w14:textId="77777777" w:rsidR="00D45CEC" w:rsidRPr="00D45CEC" w:rsidRDefault="00D45CEC" w:rsidP="00D45CEC">
      <w:pPr>
        <w:numPr>
          <w:ilvl w:val="1"/>
          <w:numId w:val="1"/>
        </w:numPr>
      </w:pPr>
      <w:r w:rsidRPr="00D45CEC">
        <w:t>Projected revenue: $22.5 million/year.</w:t>
      </w:r>
    </w:p>
    <w:p w14:paraId="345A4ABA" w14:textId="77777777" w:rsidR="00D45CEC" w:rsidRPr="00D45CEC" w:rsidRDefault="00D45CEC" w:rsidP="00D45CEC">
      <w:pPr>
        <w:numPr>
          <w:ilvl w:val="0"/>
          <w:numId w:val="1"/>
        </w:numPr>
      </w:pPr>
      <w:r w:rsidRPr="00D45CEC">
        <w:rPr>
          <w:b/>
          <w:bCs/>
        </w:rPr>
        <w:t>Subscription Fees</w:t>
      </w:r>
      <w:r w:rsidRPr="00D45CEC">
        <w:t>:</w:t>
      </w:r>
    </w:p>
    <w:p w14:paraId="06F17EA4" w14:textId="77777777" w:rsidR="00D45CEC" w:rsidRPr="00D45CEC" w:rsidRDefault="00D45CEC" w:rsidP="00D45CEC">
      <w:pPr>
        <w:numPr>
          <w:ilvl w:val="1"/>
          <w:numId w:val="1"/>
        </w:numPr>
      </w:pPr>
      <w:r w:rsidRPr="00D45CEC">
        <w:t>Active users: 200,000.</w:t>
      </w:r>
    </w:p>
    <w:p w14:paraId="79940E79" w14:textId="77777777" w:rsidR="00D45CEC" w:rsidRPr="00D45CEC" w:rsidRDefault="00D45CEC" w:rsidP="00D45CEC">
      <w:pPr>
        <w:numPr>
          <w:ilvl w:val="1"/>
          <w:numId w:val="1"/>
        </w:numPr>
      </w:pPr>
      <w:r w:rsidRPr="00D45CEC">
        <w:t>Annual subscription fee: $20/user.</w:t>
      </w:r>
    </w:p>
    <w:p w14:paraId="3FFC414D" w14:textId="77777777" w:rsidR="00D45CEC" w:rsidRPr="00D45CEC" w:rsidRDefault="00D45CEC" w:rsidP="00D45CEC">
      <w:pPr>
        <w:numPr>
          <w:ilvl w:val="1"/>
          <w:numId w:val="1"/>
        </w:numPr>
      </w:pPr>
      <w:r w:rsidRPr="00D45CEC">
        <w:t>Projected revenue: $4 million/year.</w:t>
      </w:r>
    </w:p>
    <w:p w14:paraId="4B61FEDD" w14:textId="77777777" w:rsidR="00D45CEC" w:rsidRPr="00D45CEC" w:rsidRDefault="00D45CEC" w:rsidP="00D45CEC">
      <w:r w:rsidRPr="00D45CEC">
        <w:rPr>
          <w:b/>
          <w:bCs/>
        </w:rPr>
        <w:t>Total Revenue (Year 2)</w:t>
      </w:r>
      <w:r w:rsidRPr="00D45CEC">
        <w:t>: $34 million.</w:t>
      </w:r>
    </w:p>
    <w:p w14:paraId="097B409A" w14:textId="77777777" w:rsidR="00D45CEC" w:rsidRPr="00D45CEC" w:rsidRDefault="00D45CEC" w:rsidP="00D45CEC">
      <w:r w:rsidRPr="00D45CEC">
        <w:rPr>
          <w:b/>
          <w:bCs/>
        </w:rPr>
        <w:t>Costs</w:t>
      </w:r>
      <w:r w:rsidRPr="00D45CEC">
        <w:t>:</w:t>
      </w:r>
    </w:p>
    <w:p w14:paraId="5869FF07" w14:textId="77777777" w:rsidR="00D45CEC" w:rsidRPr="00D45CEC" w:rsidRDefault="00D45CEC" w:rsidP="00D45CEC">
      <w:pPr>
        <w:numPr>
          <w:ilvl w:val="0"/>
          <w:numId w:val="2"/>
        </w:numPr>
      </w:pPr>
      <w:r w:rsidRPr="00D45CEC">
        <w:t>Operating Costs: $10.7 million (infrastructure, marketing, staffing).</w:t>
      </w:r>
    </w:p>
    <w:p w14:paraId="75699A63" w14:textId="77777777" w:rsidR="00D45CEC" w:rsidRPr="00D45CEC" w:rsidRDefault="00D45CEC" w:rsidP="00D45CEC">
      <w:pPr>
        <w:numPr>
          <w:ilvl w:val="0"/>
          <w:numId w:val="2"/>
        </w:numPr>
      </w:pPr>
      <w:r w:rsidRPr="00D45CEC">
        <w:t>Logistics Costs: $3.83 million (fleet management, fuel).</w:t>
      </w:r>
    </w:p>
    <w:p w14:paraId="6F54C8EA" w14:textId="77777777" w:rsidR="00D45CEC" w:rsidRPr="00D45CEC" w:rsidRDefault="00D45CEC" w:rsidP="00D45CEC">
      <w:r w:rsidRPr="00D45CEC">
        <w:rPr>
          <w:b/>
          <w:bCs/>
        </w:rPr>
        <w:t>Net Profit (Year 2)</w:t>
      </w:r>
      <w:r w:rsidRPr="00D45CEC">
        <w:t>: $5.11 million.</w:t>
      </w:r>
    </w:p>
    <w:p w14:paraId="22ACAA14" w14:textId="77777777" w:rsidR="00D45CEC" w:rsidRPr="00D45CEC" w:rsidRDefault="00D45CEC" w:rsidP="00D45CEC">
      <w:r w:rsidRPr="00D45CEC">
        <w:pict w14:anchorId="0239A1BC">
          <v:rect id="_x0000_i1116" style="width:0;height:1.5pt" o:hralign="center" o:hrstd="t" o:hr="t" fillcolor="#a0a0a0" stroked="f"/>
        </w:pict>
      </w:r>
    </w:p>
    <w:p w14:paraId="5505787D" w14:textId="77777777" w:rsidR="00D45CEC" w:rsidRPr="00D45CEC" w:rsidRDefault="00D45CEC" w:rsidP="00D45CEC">
      <w:r w:rsidRPr="00D45CEC">
        <w:rPr>
          <w:b/>
          <w:bCs/>
        </w:rPr>
        <w:t>Phase 2: Continental Expansion (Year 3-5)</w:t>
      </w:r>
    </w:p>
    <w:p w14:paraId="4DEC283A" w14:textId="77777777" w:rsidR="00D45CEC" w:rsidRPr="00D45CEC" w:rsidRDefault="00D45CEC" w:rsidP="00D45CEC">
      <w:r w:rsidRPr="00D45CEC">
        <w:rPr>
          <w:b/>
          <w:bCs/>
        </w:rPr>
        <w:t>Revenue Streams</w:t>
      </w:r>
      <w:r w:rsidRPr="00D45CEC">
        <w:t>:</w:t>
      </w:r>
    </w:p>
    <w:p w14:paraId="77D02A95" w14:textId="77777777" w:rsidR="00D45CEC" w:rsidRPr="00D45CEC" w:rsidRDefault="00D45CEC" w:rsidP="00D45CEC">
      <w:pPr>
        <w:numPr>
          <w:ilvl w:val="0"/>
          <w:numId w:val="3"/>
        </w:numPr>
      </w:pPr>
      <w:r w:rsidRPr="00D45CEC">
        <w:rPr>
          <w:b/>
          <w:bCs/>
        </w:rPr>
        <w:t>Transaction Commis</w:t>
      </w:r>
      <w:bookmarkStart w:id="0" w:name="_GoBack"/>
      <w:bookmarkEnd w:id="0"/>
      <w:r w:rsidRPr="00D45CEC">
        <w:rPr>
          <w:b/>
          <w:bCs/>
        </w:rPr>
        <w:t>sion</w:t>
      </w:r>
      <w:r w:rsidRPr="00D45CEC">
        <w:t>:</w:t>
      </w:r>
    </w:p>
    <w:p w14:paraId="07FE9D74" w14:textId="77777777" w:rsidR="00D45CEC" w:rsidRPr="00D45CEC" w:rsidRDefault="00D45CEC" w:rsidP="00D45CEC">
      <w:pPr>
        <w:numPr>
          <w:ilvl w:val="1"/>
          <w:numId w:val="3"/>
        </w:numPr>
      </w:pPr>
      <w:r w:rsidRPr="00D45CEC">
        <w:lastRenderedPageBreak/>
        <w:t>Market penetration: 1.5%.</w:t>
      </w:r>
    </w:p>
    <w:p w14:paraId="4DEB206A" w14:textId="77777777" w:rsidR="00D45CEC" w:rsidRPr="00D45CEC" w:rsidRDefault="00D45CEC" w:rsidP="00D45CEC">
      <w:pPr>
        <w:numPr>
          <w:ilvl w:val="1"/>
          <w:numId w:val="3"/>
        </w:numPr>
      </w:pPr>
      <w:r w:rsidRPr="00D45CEC">
        <w:t>Projected revenue: $22.5 million/year.</w:t>
      </w:r>
    </w:p>
    <w:p w14:paraId="504761F7" w14:textId="77777777" w:rsidR="00D45CEC" w:rsidRPr="00D45CEC" w:rsidRDefault="00D45CEC" w:rsidP="00D45CEC">
      <w:pPr>
        <w:numPr>
          <w:ilvl w:val="0"/>
          <w:numId w:val="3"/>
        </w:numPr>
      </w:pPr>
      <w:r w:rsidRPr="00D45CEC">
        <w:rPr>
          <w:b/>
          <w:bCs/>
        </w:rPr>
        <w:t>Logistics Fees</w:t>
      </w:r>
      <w:r w:rsidRPr="00D45CEC">
        <w:t>:</w:t>
      </w:r>
    </w:p>
    <w:p w14:paraId="5D862A4E" w14:textId="77777777" w:rsidR="00D45CEC" w:rsidRPr="00D45CEC" w:rsidRDefault="00D45CEC" w:rsidP="00D45CEC">
      <w:pPr>
        <w:numPr>
          <w:ilvl w:val="1"/>
          <w:numId w:val="3"/>
        </w:numPr>
      </w:pPr>
      <w:r w:rsidRPr="00D45CEC">
        <w:t>Share of transactions using logistics: 50%.</w:t>
      </w:r>
    </w:p>
    <w:p w14:paraId="7F11C98D" w14:textId="77777777" w:rsidR="00D45CEC" w:rsidRPr="00D45CEC" w:rsidRDefault="00D45CEC" w:rsidP="00D45CEC">
      <w:pPr>
        <w:numPr>
          <w:ilvl w:val="1"/>
          <w:numId w:val="3"/>
        </w:numPr>
      </w:pPr>
      <w:r w:rsidRPr="00D45CEC">
        <w:t>Average logistics fee: 3%.</w:t>
      </w:r>
    </w:p>
    <w:p w14:paraId="686E108B" w14:textId="77777777" w:rsidR="00D45CEC" w:rsidRPr="00D45CEC" w:rsidRDefault="00D45CEC" w:rsidP="00D45CEC">
      <w:pPr>
        <w:numPr>
          <w:ilvl w:val="1"/>
          <w:numId w:val="3"/>
        </w:numPr>
      </w:pPr>
      <w:r w:rsidRPr="00D45CEC">
        <w:t>Projected revenue: $67.5 million/year.</w:t>
      </w:r>
    </w:p>
    <w:p w14:paraId="617D9B1B" w14:textId="77777777" w:rsidR="00D45CEC" w:rsidRPr="00D45CEC" w:rsidRDefault="00D45CEC" w:rsidP="00D45CEC">
      <w:pPr>
        <w:numPr>
          <w:ilvl w:val="0"/>
          <w:numId w:val="3"/>
        </w:numPr>
      </w:pPr>
      <w:r w:rsidRPr="00D45CEC">
        <w:rPr>
          <w:b/>
          <w:bCs/>
        </w:rPr>
        <w:t>Subscription Fees</w:t>
      </w:r>
      <w:r w:rsidRPr="00D45CEC">
        <w:t>:</w:t>
      </w:r>
    </w:p>
    <w:p w14:paraId="2AB44941" w14:textId="77777777" w:rsidR="00D45CEC" w:rsidRPr="00D45CEC" w:rsidRDefault="00D45CEC" w:rsidP="00D45CEC">
      <w:pPr>
        <w:numPr>
          <w:ilvl w:val="1"/>
          <w:numId w:val="3"/>
        </w:numPr>
      </w:pPr>
      <w:r w:rsidRPr="00D45CEC">
        <w:t>Active users: 1,000,000.</w:t>
      </w:r>
    </w:p>
    <w:p w14:paraId="616B1269" w14:textId="77777777" w:rsidR="00D45CEC" w:rsidRPr="00D45CEC" w:rsidRDefault="00D45CEC" w:rsidP="00D45CEC">
      <w:pPr>
        <w:numPr>
          <w:ilvl w:val="1"/>
          <w:numId w:val="3"/>
        </w:numPr>
      </w:pPr>
      <w:r w:rsidRPr="00D45CEC">
        <w:t>Annual subscription fee: $30/user.</w:t>
      </w:r>
    </w:p>
    <w:p w14:paraId="63AE3124" w14:textId="77777777" w:rsidR="00D45CEC" w:rsidRPr="00D45CEC" w:rsidRDefault="00D45CEC" w:rsidP="00D45CEC">
      <w:pPr>
        <w:numPr>
          <w:ilvl w:val="1"/>
          <w:numId w:val="3"/>
        </w:numPr>
      </w:pPr>
      <w:r w:rsidRPr="00D45CEC">
        <w:t>Projected revenue: $30 million/year.</w:t>
      </w:r>
    </w:p>
    <w:p w14:paraId="2CA01A9B" w14:textId="77777777" w:rsidR="00D45CEC" w:rsidRPr="00D45CEC" w:rsidRDefault="00D45CEC" w:rsidP="00D45CEC">
      <w:r w:rsidRPr="00D45CEC">
        <w:rPr>
          <w:b/>
          <w:bCs/>
        </w:rPr>
        <w:t>Additional Revenue Streams</w:t>
      </w:r>
      <w:r w:rsidRPr="00D45CEC">
        <w:t>:</w:t>
      </w:r>
    </w:p>
    <w:p w14:paraId="15296EB3" w14:textId="77777777" w:rsidR="00D45CEC" w:rsidRPr="00D45CEC" w:rsidRDefault="00D45CEC" w:rsidP="00D45CEC">
      <w:pPr>
        <w:numPr>
          <w:ilvl w:val="0"/>
          <w:numId w:val="4"/>
        </w:numPr>
      </w:pPr>
      <w:r w:rsidRPr="00D45CEC">
        <w:rPr>
          <w:b/>
          <w:bCs/>
        </w:rPr>
        <w:t>Premium Services</w:t>
      </w:r>
      <w:r w:rsidRPr="00D45CEC">
        <w:t>: $10 million/year (trade data insights, financing tools).</w:t>
      </w:r>
    </w:p>
    <w:p w14:paraId="718879F4" w14:textId="77777777" w:rsidR="00D45CEC" w:rsidRPr="00D45CEC" w:rsidRDefault="00D45CEC" w:rsidP="00D45CEC">
      <w:pPr>
        <w:numPr>
          <w:ilvl w:val="0"/>
          <w:numId w:val="4"/>
        </w:numPr>
      </w:pPr>
      <w:r w:rsidRPr="00D45CEC">
        <w:rPr>
          <w:b/>
          <w:bCs/>
        </w:rPr>
        <w:t>Advertising Revenue</w:t>
      </w:r>
      <w:r w:rsidRPr="00D45CEC">
        <w:t>: $5 million/year.</w:t>
      </w:r>
    </w:p>
    <w:p w14:paraId="1BBB76EF" w14:textId="77777777" w:rsidR="00D45CEC" w:rsidRPr="00D45CEC" w:rsidRDefault="00D45CEC" w:rsidP="00D45CEC">
      <w:r w:rsidRPr="00D45CEC">
        <w:rPr>
          <w:b/>
          <w:bCs/>
        </w:rPr>
        <w:t>Total Revenue (Year 5)</w:t>
      </w:r>
      <w:r w:rsidRPr="00D45CEC">
        <w:t>: $135 million.</w:t>
      </w:r>
    </w:p>
    <w:p w14:paraId="01CE7AE1" w14:textId="77777777" w:rsidR="00D45CEC" w:rsidRPr="00D45CEC" w:rsidRDefault="00D45CEC" w:rsidP="00D45CEC">
      <w:r w:rsidRPr="00D45CEC">
        <w:rPr>
          <w:b/>
          <w:bCs/>
        </w:rPr>
        <w:t>Costs</w:t>
      </w:r>
      <w:r w:rsidRPr="00D45CEC">
        <w:t>:</w:t>
      </w:r>
    </w:p>
    <w:p w14:paraId="694CCB39" w14:textId="77777777" w:rsidR="00D45CEC" w:rsidRPr="00D45CEC" w:rsidRDefault="00D45CEC" w:rsidP="00D45CEC">
      <w:pPr>
        <w:numPr>
          <w:ilvl w:val="0"/>
          <w:numId w:val="5"/>
        </w:numPr>
      </w:pPr>
      <w:r w:rsidRPr="00D45CEC">
        <w:t>Operating Costs: $50 million (regional offices, staffing).</w:t>
      </w:r>
    </w:p>
    <w:p w14:paraId="421D4079" w14:textId="77777777" w:rsidR="00D45CEC" w:rsidRPr="00D45CEC" w:rsidRDefault="00D45CEC" w:rsidP="00D45CEC">
      <w:pPr>
        <w:numPr>
          <w:ilvl w:val="0"/>
          <w:numId w:val="5"/>
        </w:numPr>
      </w:pPr>
      <w:r w:rsidRPr="00D45CEC">
        <w:t>Logistics Costs: $20 million (expanded fleet).</w:t>
      </w:r>
    </w:p>
    <w:p w14:paraId="773F289D" w14:textId="77777777" w:rsidR="00D45CEC" w:rsidRPr="00D45CEC" w:rsidRDefault="00D45CEC" w:rsidP="00D45CEC">
      <w:r w:rsidRPr="00D45CEC">
        <w:rPr>
          <w:b/>
          <w:bCs/>
        </w:rPr>
        <w:t>Net Profit (Year 5)</w:t>
      </w:r>
      <w:r w:rsidRPr="00D45CEC">
        <w:t>: $35 million.</w:t>
      </w:r>
    </w:p>
    <w:p w14:paraId="4D05F3E3" w14:textId="77777777" w:rsidR="00D45CEC" w:rsidRPr="00D45CEC" w:rsidRDefault="00D45CEC" w:rsidP="00D45CEC">
      <w:r w:rsidRPr="00D45CEC">
        <w:pict w14:anchorId="77FE483D">
          <v:rect id="_x0000_i1117" style="width:0;height:1.5pt" o:hralign="center" o:hrstd="t" o:hr="t" fillcolor="#a0a0a0" stroked="f"/>
        </w:pict>
      </w:r>
    </w:p>
    <w:p w14:paraId="786A382F" w14:textId="77777777" w:rsidR="00D45CEC" w:rsidRPr="00D45CEC" w:rsidRDefault="00D45CEC" w:rsidP="00D45CEC">
      <w:r w:rsidRPr="00D45CEC">
        <w:rPr>
          <w:b/>
          <w:bCs/>
        </w:rPr>
        <w:t>Phase 3: Full Continental Integration (Year 6+)</w:t>
      </w:r>
    </w:p>
    <w:p w14:paraId="1DFA526C" w14:textId="77777777" w:rsidR="00D45CEC" w:rsidRPr="00D45CEC" w:rsidRDefault="00D45CEC" w:rsidP="00D45CEC">
      <w:r w:rsidRPr="00D45CEC">
        <w:rPr>
          <w:b/>
          <w:bCs/>
        </w:rPr>
        <w:t>Revenue Streams</w:t>
      </w:r>
      <w:r w:rsidRPr="00D45CEC">
        <w:t>:</w:t>
      </w:r>
    </w:p>
    <w:p w14:paraId="2738A9B7" w14:textId="77777777" w:rsidR="00D45CEC" w:rsidRPr="00D45CEC" w:rsidRDefault="00D45CEC" w:rsidP="00D45CEC">
      <w:pPr>
        <w:numPr>
          <w:ilvl w:val="0"/>
          <w:numId w:val="6"/>
        </w:numPr>
      </w:pPr>
      <w:r w:rsidRPr="00D45CEC">
        <w:rPr>
          <w:b/>
          <w:bCs/>
        </w:rPr>
        <w:t>Transaction Commission</w:t>
      </w:r>
      <w:r w:rsidRPr="00D45CEC">
        <w:t>:</w:t>
      </w:r>
    </w:p>
    <w:p w14:paraId="43D398F6" w14:textId="77777777" w:rsidR="00D45CEC" w:rsidRPr="00D45CEC" w:rsidRDefault="00D45CEC" w:rsidP="00D45CEC">
      <w:pPr>
        <w:numPr>
          <w:ilvl w:val="1"/>
          <w:numId w:val="6"/>
        </w:numPr>
      </w:pPr>
      <w:r w:rsidRPr="00D45CEC">
        <w:t>Market penetration: 5%.</w:t>
      </w:r>
    </w:p>
    <w:p w14:paraId="279FFA26" w14:textId="77777777" w:rsidR="00D45CEC" w:rsidRPr="00D45CEC" w:rsidRDefault="00D45CEC" w:rsidP="00D45CEC">
      <w:pPr>
        <w:numPr>
          <w:ilvl w:val="1"/>
          <w:numId w:val="6"/>
        </w:numPr>
      </w:pPr>
      <w:r w:rsidRPr="00D45CEC">
        <w:t>Projected revenue: $75 million/year.</w:t>
      </w:r>
    </w:p>
    <w:p w14:paraId="3F4C430B" w14:textId="77777777" w:rsidR="00D45CEC" w:rsidRPr="00D45CEC" w:rsidRDefault="00D45CEC" w:rsidP="00D45CEC">
      <w:pPr>
        <w:numPr>
          <w:ilvl w:val="0"/>
          <w:numId w:val="6"/>
        </w:numPr>
      </w:pPr>
      <w:r w:rsidRPr="00D45CEC">
        <w:rPr>
          <w:b/>
          <w:bCs/>
        </w:rPr>
        <w:t>Logistics Fees</w:t>
      </w:r>
      <w:r w:rsidRPr="00D45CEC">
        <w:t>:</w:t>
      </w:r>
    </w:p>
    <w:p w14:paraId="6BB4E286" w14:textId="77777777" w:rsidR="00D45CEC" w:rsidRPr="00D45CEC" w:rsidRDefault="00D45CEC" w:rsidP="00D45CEC">
      <w:pPr>
        <w:numPr>
          <w:ilvl w:val="1"/>
          <w:numId w:val="6"/>
        </w:numPr>
      </w:pPr>
      <w:r w:rsidRPr="00D45CEC">
        <w:t>Share of transactions using logistics: 70%.</w:t>
      </w:r>
    </w:p>
    <w:p w14:paraId="15630D3E" w14:textId="77777777" w:rsidR="00D45CEC" w:rsidRPr="00D45CEC" w:rsidRDefault="00D45CEC" w:rsidP="00D45CEC">
      <w:pPr>
        <w:numPr>
          <w:ilvl w:val="1"/>
          <w:numId w:val="6"/>
        </w:numPr>
      </w:pPr>
      <w:r w:rsidRPr="00D45CEC">
        <w:t>Average logistics fee: 3%.</w:t>
      </w:r>
    </w:p>
    <w:p w14:paraId="13FFBFFE" w14:textId="77777777" w:rsidR="00D45CEC" w:rsidRPr="00D45CEC" w:rsidRDefault="00D45CEC" w:rsidP="00D45CEC">
      <w:pPr>
        <w:numPr>
          <w:ilvl w:val="1"/>
          <w:numId w:val="6"/>
        </w:numPr>
      </w:pPr>
      <w:r w:rsidRPr="00D45CEC">
        <w:t>Projected revenue: $157.5 million/year.</w:t>
      </w:r>
    </w:p>
    <w:p w14:paraId="55753D27" w14:textId="77777777" w:rsidR="00D45CEC" w:rsidRPr="00D45CEC" w:rsidRDefault="00D45CEC" w:rsidP="00D45CEC">
      <w:pPr>
        <w:numPr>
          <w:ilvl w:val="0"/>
          <w:numId w:val="6"/>
        </w:numPr>
      </w:pPr>
      <w:r w:rsidRPr="00D45CEC">
        <w:rPr>
          <w:b/>
          <w:bCs/>
        </w:rPr>
        <w:t>Subscription Fees</w:t>
      </w:r>
      <w:r w:rsidRPr="00D45CEC">
        <w:t>:</w:t>
      </w:r>
    </w:p>
    <w:p w14:paraId="0DB7DEC2" w14:textId="77777777" w:rsidR="00D45CEC" w:rsidRPr="00D45CEC" w:rsidRDefault="00D45CEC" w:rsidP="00D45CEC">
      <w:pPr>
        <w:numPr>
          <w:ilvl w:val="1"/>
          <w:numId w:val="6"/>
        </w:numPr>
      </w:pPr>
      <w:r w:rsidRPr="00D45CEC">
        <w:t>Active users: 5,000,000.</w:t>
      </w:r>
    </w:p>
    <w:p w14:paraId="61E966EE" w14:textId="77777777" w:rsidR="00D45CEC" w:rsidRPr="00D45CEC" w:rsidRDefault="00D45CEC" w:rsidP="00D45CEC">
      <w:pPr>
        <w:numPr>
          <w:ilvl w:val="1"/>
          <w:numId w:val="6"/>
        </w:numPr>
      </w:pPr>
      <w:r w:rsidRPr="00D45CEC">
        <w:t>Annual subscription fee: $36/user.</w:t>
      </w:r>
    </w:p>
    <w:p w14:paraId="521EA9FA" w14:textId="77777777" w:rsidR="00D45CEC" w:rsidRPr="00D45CEC" w:rsidRDefault="00D45CEC" w:rsidP="00D45CEC">
      <w:pPr>
        <w:numPr>
          <w:ilvl w:val="1"/>
          <w:numId w:val="6"/>
        </w:numPr>
      </w:pPr>
      <w:r w:rsidRPr="00D45CEC">
        <w:t>Projected revenue: $180 million/year.</w:t>
      </w:r>
    </w:p>
    <w:p w14:paraId="7D6BBCC6" w14:textId="77777777" w:rsidR="00D45CEC" w:rsidRPr="00D45CEC" w:rsidRDefault="00D45CEC" w:rsidP="00D45CEC">
      <w:r w:rsidRPr="00D45CEC">
        <w:rPr>
          <w:b/>
          <w:bCs/>
        </w:rPr>
        <w:t>Additional Revenue Streams</w:t>
      </w:r>
      <w:r w:rsidRPr="00D45CEC">
        <w:t>:</w:t>
      </w:r>
    </w:p>
    <w:p w14:paraId="2935F9C8" w14:textId="77777777" w:rsidR="00D45CEC" w:rsidRPr="00D45CEC" w:rsidRDefault="00D45CEC" w:rsidP="00D45CEC">
      <w:pPr>
        <w:numPr>
          <w:ilvl w:val="0"/>
          <w:numId w:val="7"/>
        </w:numPr>
      </w:pPr>
      <w:r w:rsidRPr="00D45CEC">
        <w:rPr>
          <w:b/>
          <w:bCs/>
        </w:rPr>
        <w:t>Premium Services</w:t>
      </w:r>
      <w:r w:rsidRPr="00D45CEC">
        <w:t>: $50 million/year.</w:t>
      </w:r>
    </w:p>
    <w:p w14:paraId="16BC3F42" w14:textId="77777777" w:rsidR="00D45CEC" w:rsidRPr="00D45CEC" w:rsidRDefault="00D45CEC" w:rsidP="00D45CEC">
      <w:pPr>
        <w:numPr>
          <w:ilvl w:val="0"/>
          <w:numId w:val="7"/>
        </w:numPr>
      </w:pPr>
      <w:r w:rsidRPr="00D45CEC">
        <w:rPr>
          <w:b/>
          <w:bCs/>
        </w:rPr>
        <w:t>Advertising Revenue</w:t>
      </w:r>
      <w:r w:rsidRPr="00D45CEC">
        <w:t>: $25 million/year.</w:t>
      </w:r>
    </w:p>
    <w:p w14:paraId="4ED37309" w14:textId="77777777" w:rsidR="00D45CEC" w:rsidRPr="00D45CEC" w:rsidRDefault="00D45CEC" w:rsidP="00D45CEC">
      <w:r w:rsidRPr="00D45CEC">
        <w:rPr>
          <w:b/>
          <w:bCs/>
        </w:rPr>
        <w:t>Total Revenue (Year 8)</w:t>
      </w:r>
      <w:r w:rsidRPr="00D45CEC">
        <w:t>: $487.5 million.</w:t>
      </w:r>
    </w:p>
    <w:p w14:paraId="20F0F29E" w14:textId="77777777" w:rsidR="00D45CEC" w:rsidRPr="00D45CEC" w:rsidRDefault="00D45CEC" w:rsidP="00D45CEC">
      <w:r w:rsidRPr="00D45CEC">
        <w:rPr>
          <w:b/>
          <w:bCs/>
        </w:rPr>
        <w:t>Costs</w:t>
      </w:r>
      <w:r w:rsidRPr="00D45CEC">
        <w:t>:</w:t>
      </w:r>
    </w:p>
    <w:p w14:paraId="569862C6" w14:textId="77777777" w:rsidR="00D45CEC" w:rsidRPr="00D45CEC" w:rsidRDefault="00D45CEC" w:rsidP="00D45CEC">
      <w:pPr>
        <w:numPr>
          <w:ilvl w:val="0"/>
          <w:numId w:val="8"/>
        </w:numPr>
      </w:pPr>
      <w:r w:rsidRPr="00D45CEC">
        <w:t>Operating Costs: $100 million.</w:t>
      </w:r>
    </w:p>
    <w:p w14:paraId="2F123BCB" w14:textId="77777777" w:rsidR="00D45CEC" w:rsidRPr="00D45CEC" w:rsidRDefault="00D45CEC" w:rsidP="00D45CEC">
      <w:pPr>
        <w:numPr>
          <w:ilvl w:val="0"/>
          <w:numId w:val="8"/>
        </w:numPr>
      </w:pPr>
      <w:r w:rsidRPr="00D45CEC">
        <w:t>Logistics Costs: $70 million.</w:t>
      </w:r>
    </w:p>
    <w:p w14:paraId="698CA9DE" w14:textId="77777777" w:rsidR="00D45CEC" w:rsidRPr="00D45CEC" w:rsidRDefault="00D45CEC" w:rsidP="00D45CEC">
      <w:r w:rsidRPr="00D45CEC">
        <w:rPr>
          <w:b/>
          <w:bCs/>
        </w:rPr>
        <w:t>Net Profit (Year 8)</w:t>
      </w:r>
      <w:r w:rsidRPr="00D45CEC">
        <w:t>: $200 million.</w:t>
      </w:r>
    </w:p>
    <w:p w14:paraId="545DA2A8" w14:textId="77777777" w:rsidR="00D45CEC" w:rsidRPr="00D45CEC" w:rsidRDefault="00D45CEC" w:rsidP="00D45CEC">
      <w:r w:rsidRPr="00D45CEC">
        <w:pict w14:anchorId="71264D09">
          <v:rect id="_x0000_i1118" style="width:0;height:1.5pt" o:hralign="center" o:hrstd="t" o:hr="t" fillcolor="#a0a0a0" stroked="f"/>
        </w:pict>
      </w:r>
    </w:p>
    <w:p w14:paraId="2735EE49" w14:textId="77777777" w:rsidR="00D45CEC" w:rsidRPr="00D45CEC" w:rsidRDefault="00D45CEC" w:rsidP="00D45CEC">
      <w:r w:rsidRPr="00D45CEC">
        <w:rPr>
          <w:b/>
          <w:bCs/>
        </w:rPr>
        <w:t>Break-Even Analysis</w:t>
      </w:r>
    </w:p>
    <w:p w14:paraId="5B032588" w14:textId="77777777" w:rsidR="00D45CEC" w:rsidRPr="00D45CEC" w:rsidRDefault="00D45CEC" w:rsidP="00D45CEC">
      <w:pPr>
        <w:numPr>
          <w:ilvl w:val="0"/>
          <w:numId w:val="9"/>
        </w:numPr>
      </w:pPr>
      <w:r w:rsidRPr="00D45CEC">
        <w:t>Break-even point: Year 2.</w:t>
      </w:r>
    </w:p>
    <w:p w14:paraId="22C3C965" w14:textId="77777777" w:rsidR="00D45CEC" w:rsidRPr="00D45CEC" w:rsidRDefault="00D45CEC" w:rsidP="00D45CEC">
      <w:pPr>
        <w:numPr>
          <w:ilvl w:val="0"/>
          <w:numId w:val="9"/>
        </w:numPr>
      </w:pPr>
      <w:r w:rsidRPr="00D45CEC">
        <w:t>Key drivers: High-margin subscription and logistics services.</w:t>
      </w:r>
    </w:p>
    <w:p w14:paraId="4C11EC40" w14:textId="77777777" w:rsidR="00D45CEC" w:rsidRPr="00D45CEC" w:rsidRDefault="00D45CEC" w:rsidP="00D45CEC">
      <w:r w:rsidRPr="00D45CEC">
        <w:pict w14:anchorId="6566535E">
          <v:rect id="_x0000_i1119" style="width:0;height:1.5pt" o:hralign="center" o:hrstd="t" o:hr="t" fillcolor="#a0a0a0" stroked="f"/>
        </w:pict>
      </w:r>
    </w:p>
    <w:p w14:paraId="66A134CE" w14:textId="77777777" w:rsidR="00D45CEC" w:rsidRPr="00D45CEC" w:rsidRDefault="00D45CEC" w:rsidP="00D45CEC">
      <w:r w:rsidRPr="00D45CEC">
        <w:rPr>
          <w:b/>
          <w:bCs/>
        </w:rPr>
        <w:t>Funding Requirements</w:t>
      </w:r>
    </w:p>
    <w:p w14:paraId="5173AFB5" w14:textId="77777777" w:rsidR="00D45CEC" w:rsidRPr="00D45CEC" w:rsidRDefault="00D45CEC" w:rsidP="00D45CEC">
      <w:pPr>
        <w:numPr>
          <w:ilvl w:val="0"/>
          <w:numId w:val="10"/>
        </w:numPr>
      </w:pPr>
      <w:r w:rsidRPr="00D45CEC">
        <w:t>Initial Investment (Years 1-2): $20 million (technology, operations, marketing).</w:t>
      </w:r>
    </w:p>
    <w:p w14:paraId="5E2889AB" w14:textId="77777777" w:rsidR="00D45CEC" w:rsidRPr="00D45CEC" w:rsidRDefault="00D45CEC" w:rsidP="00D45CEC">
      <w:pPr>
        <w:numPr>
          <w:ilvl w:val="0"/>
          <w:numId w:val="10"/>
        </w:numPr>
      </w:pPr>
      <w:r w:rsidRPr="00D45CEC">
        <w:t>Expansion Capital (Years 3-5): $50 million (fleet acquisition, regional offices).</w:t>
      </w:r>
    </w:p>
    <w:p w14:paraId="543659EF" w14:textId="77777777" w:rsidR="00D45CEC" w:rsidRPr="00D45CEC" w:rsidRDefault="00D45CEC" w:rsidP="00D45CEC">
      <w:pPr>
        <w:numPr>
          <w:ilvl w:val="0"/>
          <w:numId w:val="10"/>
        </w:numPr>
      </w:pPr>
      <w:r w:rsidRPr="00D45CEC">
        <w:t>Advanced Scaling (Year 6+): $100 million (AI tools, advanced services).</w:t>
      </w:r>
    </w:p>
    <w:p w14:paraId="4425067B" w14:textId="77777777" w:rsidR="00D45CEC" w:rsidRPr="00D45CEC" w:rsidRDefault="00D45CEC" w:rsidP="00D45CEC">
      <w:r w:rsidRPr="00D45CEC">
        <w:pict w14:anchorId="21993C27">
          <v:rect id="_x0000_i1120" style="width:0;height:1.5pt" o:hralign="center" o:hrstd="t" o:hr="t" fillcolor="#a0a0a0" stroked="f"/>
        </w:pict>
      </w:r>
    </w:p>
    <w:p w14:paraId="5B7682A9" w14:textId="77777777" w:rsidR="00D45CEC" w:rsidRPr="00D45CEC" w:rsidRDefault="00D45CEC" w:rsidP="00D45CEC">
      <w:r w:rsidRPr="00D45CEC">
        <w:rPr>
          <w:b/>
          <w:bCs/>
        </w:rPr>
        <w:t>Conclusion</w:t>
      </w:r>
      <w:r w:rsidRPr="00D45CEC">
        <w:t xml:space="preserve"> WTS’s financial trajectory highlights a sustainable and scalable model, with increasing profitability driven by diversified revenue streams and efficient operations. By Year 8, WTS is projected to become a market leader, generating nearly half a billion dollars in annual revenue.</w:t>
      </w:r>
    </w:p>
    <w:p w14:paraId="0A8496C2" w14:textId="77777777" w:rsidR="00864360" w:rsidRDefault="00864360"/>
    <w:sectPr w:rsidR="0086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7BE5"/>
    <w:multiLevelType w:val="multilevel"/>
    <w:tmpl w:val="9368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A7E94"/>
    <w:multiLevelType w:val="multilevel"/>
    <w:tmpl w:val="70A4E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B0927"/>
    <w:multiLevelType w:val="multilevel"/>
    <w:tmpl w:val="B7EE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37263"/>
    <w:multiLevelType w:val="multilevel"/>
    <w:tmpl w:val="08EC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160F6"/>
    <w:multiLevelType w:val="multilevel"/>
    <w:tmpl w:val="163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65005"/>
    <w:multiLevelType w:val="multilevel"/>
    <w:tmpl w:val="2B3CF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73A19"/>
    <w:multiLevelType w:val="multilevel"/>
    <w:tmpl w:val="0F94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43F3A"/>
    <w:multiLevelType w:val="multilevel"/>
    <w:tmpl w:val="C7D6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C3189B"/>
    <w:multiLevelType w:val="multilevel"/>
    <w:tmpl w:val="4742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A507E5"/>
    <w:multiLevelType w:val="multilevel"/>
    <w:tmpl w:val="0C242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2"/>
  </w:num>
  <w:num w:numId="5">
    <w:abstractNumId w:val="7"/>
  </w:num>
  <w:num w:numId="6">
    <w:abstractNumId w:val="5"/>
  </w:num>
  <w:num w:numId="7">
    <w:abstractNumId w:val="4"/>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EC"/>
    <w:rsid w:val="00864360"/>
    <w:rsid w:val="00D4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72CA"/>
  <w15:chartTrackingRefBased/>
  <w15:docId w15:val="{85BD50D3-1A1A-4CEB-9445-FA705B51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400827">
      <w:bodyDiv w:val="1"/>
      <w:marLeft w:val="0"/>
      <w:marRight w:val="0"/>
      <w:marTop w:val="0"/>
      <w:marBottom w:val="0"/>
      <w:divBdr>
        <w:top w:val="none" w:sz="0" w:space="0" w:color="auto"/>
        <w:left w:val="none" w:sz="0" w:space="0" w:color="auto"/>
        <w:bottom w:val="none" w:sz="0" w:space="0" w:color="auto"/>
        <w:right w:val="none" w:sz="0" w:space="0" w:color="auto"/>
      </w:divBdr>
      <w:divsChild>
        <w:div w:id="699672673">
          <w:marLeft w:val="0"/>
          <w:marRight w:val="0"/>
          <w:marTop w:val="0"/>
          <w:marBottom w:val="0"/>
          <w:divBdr>
            <w:top w:val="none" w:sz="0" w:space="0" w:color="auto"/>
            <w:left w:val="none" w:sz="0" w:space="0" w:color="auto"/>
            <w:bottom w:val="none" w:sz="0" w:space="0" w:color="auto"/>
            <w:right w:val="none" w:sz="0" w:space="0" w:color="auto"/>
          </w:divBdr>
        </w:div>
        <w:div w:id="1405908016">
          <w:marLeft w:val="0"/>
          <w:marRight w:val="0"/>
          <w:marTop w:val="0"/>
          <w:marBottom w:val="0"/>
          <w:divBdr>
            <w:top w:val="none" w:sz="0" w:space="0" w:color="auto"/>
            <w:left w:val="none" w:sz="0" w:space="0" w:color="auto"/>
            <w:bottom w:val="none" w:sz="0" w:space="0" w:color="auto"/>
            <w:right w:val="none" w:sz="0" w:space="0" w:color="auto"/>
          </w:divBdr>
        </w:div>
        <w:div w:id="668945330">
          <w:marLeft w:val="0"/>
          <w:marRight w:val="0"/>
          <w:marTop w:val="0"/>
          <w:marBottom w:val="0"/>
          <w:divBdr>
            <w:top w:val="none" w:sz="0" w:space="0" w:color="auto"/>
            <w:left w:val="none" w:sz="0" w:space="0" w:color="auto"/>
            <w:bottom w:val="none" w:sz="0" w:space="0" w:color="auto"/>
            <w:right w:val="none" w:sz="0" w:space="0" w:color="auto"/>
          </w:divBdr>
        </w:div>
        <w:div w:id="2031375307">
          <w:marLeft w:val="0"/>
          <w:marRight w:val="0"/>
          <w:marTop w:val="0"/>
          <w:marBottom w:val="0"/>
          <w:divBdr>
            <w:top w:val="none" w:sz="0" w:space="0" w:color="auto"/>
            <w:left w:val="none" w:sz="0" w:space="0" w:color="auto"/>
            <w:bottom w:val="none" w:sz="0" w:space="0" w:color="auto"/>
            <w:right w:val="none" w:sz="0" w:space="0" w:color="auto"/>
          </w:divBdr>
        </w:div>
        <w:div w:id="679964395">
          <w:marLeft w:val="0"/>
          <w:marRight w:val="0"/>
          <w:marTop w:val="0"/>
          <w:marBottom w:val="0"/>
          <w:divBdr>
            <w:top w:val="none" w:sz="0" w:space="0" w:color="auto"/>
            <w:left w:val="none" w:sz="0" w:space="0" w:color="auto"/>
            <w:bottom w:val="none" w:sz="0" w:space="0" w:color="auto"/>
            <w:right w:val="none" w:sz="0" w:space="0" w:color="auto"/>
          </w:divBdr>
        </w:div>
        <w:div w:id="1739666575">
          <w:marLeft w:val="0"/>
          <w:marRight w:val="0"/>
          <w:marTop w:val="0"/>
          <w:marBottom w:val="0"/>
          <w:divBdr>
            <w:top w:val="none" w:sz="0" w:space="0" w:color="auto"/>
            <w:left w:val="none" w:sz="0" w:space="0" w:color="auto"/>
            <w:bottom w:val="none" w:sz="0" w:space="0" w:color="auto"/>
            <w:right w:val="none" w:sz="0" w:space="0" w:color="auto"/>
          </w:divBdr>
        </w:div>
      </w:divsChild>
    </w:div>
    <w:div w:id="2074964782">
      <w:bodyDiv w:val="1"/>
      <w:marLeft w:val="0"/>
      <w:marRight w:val="0"/>
      <w:marTop w:val="0"/>
      <w:marBottom w:val="0"/>
      <w:divBdr>
        <w:top w:val="none" w:sz="0" w:space="0" w:color="auto"/>
        <w:left w:val="none" w:sz="0" w:space="0" w:color="auto"/>
        <w:bottom w:val="none" w:sz="0" w:space="0" w:color="auto"/>
        <w:right w:val="none" w:sz="0" w:space="0" w:color="auto"/>
      </w:divBdr>
      <w:divsChild>
        <w:div w:id="477114321">
          <w:marLeft w:val="0"/>
          <w:marRight w:val="0"/>
          <w:marTop w:val="0"/>
          <w:marBottom w:val="0"/>
          <w:divBdr>
            <w:top w:val="none" w:sz="0" w:space="0" w:color="auto"/>
            <w:left w:val="none" w:sz="0" w:space="0" w:color="auto"/>
            <w:bottom w:val="none" w:sz="0" w:space="0" w:color="auto"/>
            <w:right w:val="none" w:sz="0" w:space="0" w:color="auto"/>
          </w:divBdr>
        </w:div>
        <w:div w:id="1370178082">
          <w:marLeft w:val="0"/>
          <w:marRight w:val="0"/>
          <w:marTop w:val="0"/>
          <w:marBottom w:val="0"/>
          <w:divBdr>
            <w:top w:val="none" w:sz="0" w:space="0" w:color="auto"/>
            <w:left w:val="none" w:sz="0" w:space="0" w:color="auto"/>
            <w:bottom w:val="none" w:sz="0" w:space="0" w:color="auto"/>
            <w:right w:val="none" w:sz="0" w:space="0" w:color="auto"/>
          </w:divBdr>
        </w:div>
        <w:div w:id="1219973431">
          <w:marLeft w:val="0"/>
          <w:marRight w:val="0"/>
          <w:marTop w:val="0"/>
          <w:marBottom w:val="0"/>
          <w:divBdr>
            <w:top w:val="none" w:sz="0" w:space="0" w:color="auto"/>
            <w:left w:val="none" w:sz="0" w:space="0" w:color="auto"/>
            <w:bottom w:val="none" w:sz="0" w:space="0" w:color="auto"/>
            <w:right w:val="none" w:sz="0" w:space="0" w:color="auto"/>
          </w:divBdr>
        </w:div>
        <w:div w:id="1461416308">
          <w:marLeft w:val="0"/>
          <w:marRight w:val="0"/>
          <w:marTop w:val="0"/>
          <w:marBottom w:val="0"/>
          <w:divBdr>
            <w:top w:val="none" w:sz="0" w:space="0" w:color="auto"/>
            <w:left w:val="none" w:sz="0" w:space="0" w:color="auto"/>
            <w:bottom w:val="none" w:sz="0" w:space="0" w:color="auto"/>
            <w:right w:val="none" w:sz="0" w:space="0" w:color="auto"/>
          </w:divBdr>
        </w:div>
        <w:div w:id="1947735423">
          <w:marLeft w:val="0"/>
          <w:marRight w:val="0"/>
          <w:marTop w:val="0"/>
          <w:marBottom w:val="0"/>
          <w:divBdr>
            <w:top w:val="none" w:sz="0" w:space="0" w:color="auto"/>
            <w:left w:val="none" w:sz="0" w:space="0" w:color="auto"/>
            <w:bottom w:val="none" w:sz="0" w:space="0" w:color="auto"/>
            <w:right w:val="none" w:sz="0" w:space="0" w:color="auto"/>
          </w:divBdr>
        </w:div>
        <w:div w:id="791903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Ikoku</dc:creator>
  <cp:keywords/>
  <dc:description/>
  <cp:lastModifiedBy>Michael Ikoku</cp:lastModifiedBy>
  <cp:revision>1</cp:revision>
  <dcterms:created xsi:type="dcterms:W3CDTF">2024-12-30T02:09:00Z</dcterms:created>
  <dcterms:modified xsi:type="dcterms:W3CDTF">2024-12-30T02:11:00Z</dcterms:modified>
</cp:coreProperties>
</file>