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MOR Executive Status Report - June 23, 2026</w:t>
      </w:r>
    </w:p>
    <w:p>
      <w:pPr>
        <w:jc w:val="center"/>
      </w:pPr>
      <w:r>
        <w:rPr>
          <w:b/>
        </w:rPr>
        <w:t xml:space="preserve">Scope: all accessible Jira issues across projects: </w:t>
      </w:r>
      <w:r>
        <w:t>BWI, CBMCU, CDA, CMA, EE6, EX, IRMCU, IROCU, LEARNJIRA, MBA, SCI, SO, SRC, STKJ, XBMCU</w:t>
      </w:r>
    </w:p>
    <w:p>
      <w:r>
        <w:t>Data refreshed from Jira on June 23, 2026. Sprint goal, story point, velocity, burndown, cycle time, and defect leakage metrics were not exposed in the available Jira issue fields and are called out as management/data-quality actions below.</w:t>
      </w:r>
    </w:p>
    <w:p>
      <w:pPr>
        <w:pStyle w:val="Heading1"/>
      </w:pPr>
      <w:r>
        <w:t>1. Executive Summary</w:t>
      </w:r>
    </w:p>
    <w:tbl>
      <w:tblPr>
        <w:tblStyle w:val="TableGrid"/>
        <w:tblW w:type="auto" w:w="0"/>
        <w:jc w:val="center"/>
        <w:tblLook w:firstColumn="1" w:firstRow="1" w:lastColumn="0" w:lastRow="0" w:noHBand="0" w:noVBand="1" w:val="04A0"/>
      </w:tblPr>
      <w:tblGrid>
        <w:gridCol w:w="3552"/>
        <w:gridCol w:w="3552"/>
        <w:gridCol w:w="3552"/>
      </w:tblGrid>
      <w:tr>
        <w:tc>
          <w:tcPr>
            <w:tcW w:type="dxa" w:w="2448"/>
            <w:vAlign w:val="center"/>
            <w:shd w:fill="D9EAF7"/>
          </w:tcPr>
          <w:p>
            <w:r/>
            <w:r>
              <w:rPr>
                <w:b/>
              </w:rPr>
              <w:t>Dimension</w:t>
            </w:r>
          </w:p>
        </w:tc>
        <w:tc>
          <w:tcPr>
            <w:tcW w:type="dxa" w:w="1440"/>
            <w:vAlign w:val="center"/>
            <w:shd w:fill="D9EAF7"/>
          </w:tcPr>
          <w:p>
            <w:r/>
            <w:r>
              <w:rPr>
                <w:b/>
              </w:rPr>
              <w:t>Status</w:t>
            </w:r>
          </w:p>
        </w:tc>
        <w:tc>
          <w:tcPr>
            <w:tcW w:type="dxa" w:w="8352"/>
            <w:vAlign w:val="center"/>
            <w:shd w:fill="D9EAF7"/>
          </w:tcPr>
          <w:p>
            <w:r/>
            <w:r>
              <w:rPr>
                <w:b/>
              </w:rPr>
              <w:t>Executive readout</w:t>
            </w:r>
          </w:p>
        </w:tc>
      </w:tr>
      <w:tr>
        <w:tc>
          <w:tcPr>
            <w:tcW w:type="dxa" w:w="2448"/>
            <w:vAlign w:val="center"/>
          </w:tcPr>
          <w:p>
            <w:r/>
            <w:r>
              <w:rPr>
                <w:b w:val="0"/>
              </w:rPr>
              <w:t>Overall project health</w:t>
            </w:r>
          </w:p>
        </w:tc>
        <w:tc>
          <w:tcPr>
            <w:tcW w:type="dxa" w:w="1440"/>
            <w:vAlign w:val="center"/>
          </w:tcPr>
          <w:p>
            <w:r/>
            <w:r>
              <w:rPr>
                <w:b w:val="0"/>
              </w:rPr>
              <w:t>Red</w:t>
            </w:r>
          </w:p>
        </w:tc>
        <w:tc>
          <w:tcPr>
            <w:tcW w:type="dxa" w:w="8352"/>
            <w:vAlign w:val="center"/>
          </w:tcPr>
          <w:p>
            <w:r/>
            <w:r>
              <w:rPr>
                <w:b w:val="0"/>
              </w:rPr>
              <w:t>Execution risk remains elevated: 176 open items, including 117 open defects and 12 overdue dated items.</w:t>
            </w:r>
          </w:p>
        </w:tc>
      </w:tr>
      <w:tr>
        <w:tc>
          <w:tcPr>
            <w:tcW w:type="dxa" w:w="2448"/>
            <w:vAlign w:val="center"/>
          </w:tcPr>
          <w:p>
            <w:r/>
            <w:r>
              <w:rPr>
                <w:b w:val="0"/>
              </w:rPr>
              <w:t>Delivery progress</w:t>
            </w:r>
          </w:p>
        </w:tc>
        <w:tc>
          <w:tcPr>
            <w:tcW w:type="dxa" w:w="1440"/>
            <w:vAlign w:val="center"/>
          </w:tcPr>
          <w:p>
            <w:r/>
            <w:r>
              <w:rPr>
                <w:b w:val="0"/>
              </w:rPr>
              <w:t>Amber</w:t>
            </w:r>
          </w:p>
        </w:tc>
        <w:tc>
          <w:tcPr>
            <w:tcW w:type="dxa" w:w="8352"/>
            <w:vAlign w:val="center"/>
          </w:tcPr>
          <w:p>
            <w:r/>
            <w:r>
              <w:rPr>
                <w:b w:val="0"/>
              </w:rPr>
              <w:t>1 item completed in the last 7 days (CDA-116); no Jira issues were resolved today.</w:t>
            </w:r>
          </w:p>
        </w:tc>
      </w:tr>
      <w:tr>
        <w:tc>
          <w:tcPr>
            <w:tcW w:type="dxa" w:w="2448"/>
            <w:vAlign w:val="center"/>
          </w:tcPr>
          <w:p>
            <w:r/>
            <w:r>
              <w:rPr>
                <w:b w:val="0"/>
              </w:rPr>
              <w:t>Blockers</w:t>
            </w:r>
          </w:p>
        </w:tc>
        <w:tc>
          <w:tcPr>
            <w:tcW w:type="dxa" w:w="1440"/>
            <w:vAlign w:val="center"/>
          </w:tcPr>
          <w:p>
            <w:r/>
            <w:r>
              <w:rPr>
                <w:b w:val="0"/>
              </w:rPr>
              <w:t>Green</w:t>
            </w:r>
          </w:p>
        </w:tc>
        <w:tc>
          <w:tcPr>
            <w:tcW w:type="dxa" w:w="8352"/>
            <w:vAlign w:val="center"/>
          </w:tcPr>
          <w:p>
            <w:r/>
            <w:r>
              <w:rPr>
                <w:b w:val="0"/>
              </w:rPr>
              <w:t>No issues matched explicit Blocked status or blocked/blocker/impediment labels.</w:t>
            </w:r>
          </w:p>
        </w:tc>
      </w:tr>
      <w:tr>
        <w:tc>
          <w:tcPr>
            <w:tcW w:type="dxa" w:w="2448"/>
            <w:vAlign w:val="center"/>
          </w:tcPr>
          <w:p>
            <w:r/>
            <w:r>
              <w:rPr>
                <w:b w:val="0"/>
              </w:rPr>
              <w:t>Portfolio controls</w:t>
            </w:r>
          </w:p>
        </w:tc>
        <w:tc>
          <w:tcPr>
            <w:tcW w:type="dxa" w:w="1440"/>
            <w:vAlign w:val="center"/>
          </w:tcPr>
          <w:p>
            <w:r/>
            <w:r>
              <w:rPr>
                <w:b w:val="0"/>
              </w:rPr>
              <w:t>Red</w:t>
            </w:r>
          </w:p>
        </w:tc>
        <w:tc>
          <w:tcPr>
            <w:tcW w:type="dxa" w:w="8352"/>
            <w:vAlign w:val="center"/>
          </w:tcPr>
          <w:p>
            <w:r/>
            <w:r>
              <w:rPr>
                <w:b w:val="0"/>
              </w:rPr>
              <w:t>44 open items are unassigned and Jira sprint/planning metrics are unavailable for MOR validation.</w:t>
            </w:r>
          </w:p>
        </w:tc>
      </w:tr>
    </w:tbl>
    <w:p/>
    <w:p>
      <w:pPr>
        <w:pStyle w:val="ListBullet"/>
      </w:pPr>
      <w:r>
        <w:t>Key achievement: CDA-116, Modify Start Address for CBMCU to SOAL Program, was completed on June 22, 2026 by Nagesh Prajapati.</w:t>
      </w:r>
    </w:p>
    <w:p>
      <w:pPr>
        <w:pStyle w:val="ListBullet"/>
      </w:pPr>
      <w:r>
        <w:t>Major risk: high-severity validation and firmware/CANopen issues remain open, including CDA-96, CDA-65, and IROCU-7 at Highest priority.</w:t>
      </w:r>
    </w:p>
    <w:p>
      <w:pPr>
        <w:pStyle w:val="ListBullet"/>
      </w:pPr>
      <w:r>
        <w:t>Management attention is required on overdue dated work, unassigned items, and the absence of sprint/burndown/story point reporting fields.</w:t>
      </w:r>
    </w:p>
    <w:p>
      <w:pPr>
        <w:pStyle w:val="Heading1"/>
      </w:pPr>
      <w:r>
        <w:t>2. Work Completed Since Last Update</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1296"/>
            <w:vAlign w:val="center"/>
            <w:shd w:fill="D9EAF7"/>
          </w:tcPr>
          <w:p>
            <w:r/>
            <w:r>
              <w:rPr>
                <w:b/>
              </w:rPr>
              <w:t>Issue key</w:t>
            </w:r>
          </w:p>
        </w:tc>
        <w:tc>
          <w:tcPr>
            <w:tcW w:type="dxa" w:w="6048"/>
            <w:vAlign w:val="center"/>
            <w:shd w:fill="D9EAF7"/>
          </w:tcPr>
          <w:p>
            <w:r/>
            <w:r>
              <w:rPr>
                <w:b/>
              </w:rPr>
              <w:t>Summary</w:t>
            </w:r>
          </w:p>
        </w:tc>
        <w:tc>
          <w:tcPr>
            <w:tcW w:type="dxa" w:w="2304"/>
            <w:vAlign w:val="center"/>
            <w:shd w:fill="D9EAF7"/>
          </w:tcPr>
          <w:p>
            <w:r/>
            <w:r>
              <w:rPr>
                <w:b/>
              </w:rPr>
              <w:t>Assignee</w:t>
            </w:r>
          </w:p>
        </w:tc>
        <w:tc>
          <w:tcPr>
            <w:tcW w:type="dxa" w:w="1728"/>
            <w:vAlign w:val="center"/>
            <w:shd w:fill="D9EAF7"/>
          </w:tcPr>
          <w:p>
            <w:r/>
            <w:r>
              <w:rPr>
                <w:b/>
              </w:rPr>
              <w:t>Completion date</w:t>
            </w:r>
          </w:p>
        </w:tc>
        <w:tc>
          <w:tcPr>
            <w:tcW w:type="dxa" w:w="1728"/>
            <w:vAlign w:val="center"/>
            <w:shd w:fill="D9EAF7"/>
          </w:tcPr>
          <w:p>
            <w:r/>
            <w:r>
              <w:rPr>
                <w:b/>
              </w:rPr>
              <w:t>Grouping</w:t>
            </w:r>
          </w:p>
        </w:tc>
      </w:tr>
      <w:tr>
        <w:tc>
          <w:tcPr>
            <w:tcW w:type="dxa" w:w="1296"/>
            <w:vAlign w:val="center"/>
          </w:tcPr>
          <w:p>
            <w:r/>
            <w:r>
              <w:rPr>
                <w:b w:val="0"/>
              </w:rPr>
              <w:t>CDA-116</w:t>
            </w:r>
          </w:p>
        </w:tc>
        <w:tc>
          <w:tcPr>
            <w:tcW w:type="dxa" w:w="6048"/>
            <w:vAlign w:val="center"/>
          </w:tcPr>
          <w:p>
            <w:r/>
            <w:r>
              <w:rPr>
                <w:b w:val="0"/>
              </w:rPr>
              <w:t>Modify Start Address for CBMCU to SOAL Program</w:t>
            </w:r>
          </w:p>
        </w:tc>
        <w:tc>
          <w:tcPr>
            <w:tcW w:type="dxa" w:w="2304"/>
            <w:vAlign w:val="center"/>
          </w:tcPr>
          <w:p>
            <w:r/>
            <w:r>
              <w:rPr>
                <w:b w:val="0"/>
              </w:rPr>
              <w:t>Nagesh Prajapati</w:t>
            </w:r>
          </w:p>
        </w:tc>
        <w:tc>
          <w:tcPr>
            <w:tcW w:type="dxa" w:w="1728"/>
            <w:vAlign w:val="center"/>
          </w:tcPr>
          <w:p>
            <w:r/>
            <w:r>
              <w:rPr>
                <w:b w:val="0"/>
              </w:rPr>
              <w:t>2026-06-22</w:t>
            </w:r>
          </w:p>
        </w:tc>
        <w:tc>
          <w:tcPr>
            <w:tcW w:type="dxa" w:w="1728"/>
            <w:vAlign w:val="center"/>
          </w:tcPr>
          <w:p>
            <w:r/>
            <w:r>
              <w:rPr>
                <w:b w:val="0"/>
              </w:rPr>
              <w:t>CDA / Story</w:t>
            </w:r>
          </w:p>
        </w:tc>
      </w:tr>
    </w:tbl>
    <w:p/>
    <w:p>
      <w:pPr>
        <w:pStyle w:val="Heading1"/>
      </w:pPr>
      <w:r>
        <w:t>3. Work In Progress</w:t>
      </w:r>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1152"/>
            <w:vAlign w:val="center"/>
            <w:shd w:fill="D9EAF7"/>
          </w:tcPr>
          <w:p>
            <w:r/>
            <w:r>
              <w:rPr>
                <w:b/>
              </w:rPr>
              <w:t>Issue key</w:t>
            </w:r>
          </w:p>
        </w:tc>
        <w:tc>
          <w:tcPr>
            <w:tcW w:type="dxa" w:w="4608"/>
            <w:vAlign w:val="center"/>
            <w:shd w:fill="D9EAF7"/>
          </w:tcPr>
          <w:p>
            <w:r/>
            <w:r>
              <w:rPr>
                <w:b/>
              </w:rPr>
              <w:t>Summary</w:t>
            </w:r>
          </w:p>
        </w:tc>
        <w:tc>
          <w:tcPr>
            <w:tcW w:type="dxa" w:w="1944"/>
            <w:vAlign w:val="center"/>
            <w:shd w:fill="D9EAF7"/>
          </w:tcPr>
          <w:p>
            <w:r/>
            <w:r>
              <w:rPr>
                <w:b/>
              </w:rPr>
              <w:t>Assignee</w:t>
            </w:r>
          </w:p>
        </w:tc>
        <w:tc>
          <w:tcPr>
            <w:tcW w:type="dxa" w:w="1656"/>
            <w:vAlign w:val="center"/>
            <w:shd w:fill="D9EAF7"/>
          </w:tcPr>
          <w:p>
            <w:r/>
            <w:r>
              <w:rPr>
                <w:b/>
              </w:rPr>
              <w:t>Status</w:t>
            </w:r>
          </w:p>
        </w:tc>
        <w:tc>
          <w:tcPr>
            <w:tcW w:type="dxa" w:w="1728"/>
            <w:vAlign w:val="center"/>
            <w:shd w:fill="D9EAF7"/>
          </w:tcPr>
          <w:p>
            <w:r/>
            <w:r>
              <w:rPr>
                <w:b/>
              </w:rPr>
              <w:t>Est. completion</w:t>
            </w:r>
          </w:p>
        </w:tc>
        <w:tc>
          <w:tcPr>
            <w:tcW w:type="dxa" w:w="1440"/>
            <w:vAlign w:val="center"/>
            <w:shd w:fill="D9EAF7"/>
          </w:tcPr>
          <w:p>
            <w:r/>
            <w:r>
              <w:rPr>
                <w:b/>
              </w:rPr>
              <w:t>% complete</w:t>
            </w:r>
          </w:p>
        </w:tc>
        <w:tc>
          <w:tcPr>
            <w:tcW w:type="dxa" w:w="3312"/>
            <w:vAlign w:val="center"/>
            <w:shd w:fill="D9EAF7"/>
          </w:tcPr>
          <w:p>
            <w:r/>
            <w:r>
              <w:rPr>
                <w:b/>
              </w:rPr>
              <w:t>Risk highlight</w:t>
            </w:r>
          </w:p>
        </w:tc>
      </w:tr>
      <w:tr>
        <w:tc>
          <w:tcPr>
            <w:tcW w:type="dxa" w:w="1152"/>
            <w:vAlign w:val="center"/>
          </w:tcPr>
          <w:p>
            <w:r/>
            <w:r>
              <w:rPr>
                <w:b w:val="0"/>
              </w:rPr>
              <w:t>CDA-96</w:t>
            </w:r>
          </w:p>
        </w:tc>
        <w:tc>
          <w:tcPr>
            <w:tcW w:type="dxa" w:w="4608"/>
            <w:vAlign w:val="center"/>
          </w:tcPr>
          <w:p>
            <w:r/>
            <w:r>
              <w:rPr>
                <w:b w:val="0"/>
              </w:rPr>
              <w:t>SRDO Creation Tool lacks CANopen Safety COB-ID validation rules</w:t>
            </w:r>
          </w:p>
        </w:tc>
        <w:tc>
          <w:tcPr>
            <w:tcW w:type="dxa" w:w="1944"/>
            <w:vAlign w:val="center"/>
          </w:tcPr>
          <w:p>
            <w:r/>
            <w:r>
              <w:rPr>
                <w:b w:val="0"/>
              </w:rPr>
              <w:t>Sambangi Sankararao</w:t>
            </w:r>
          </w:p>
        </w:tc>
        <w:tc>
          <w:tcPr>
            <w:tcW w:type="dxa" w:w="1656"/>
            <w:vAlign w:val="center"/>
          </w:tcPr>
          <w:p>
            <w:r/>
            <w:r>
              <w:rPr>
                <w:b w:val="0"/>
              </w:rPr>
              <w:t>TESTING/VALIDATION</w:t>
            </w:r>
          </w:p>
        </w:tc>
        <w:tc>
          <w:tcPr>
            <w:tcW w:type="dxa" w:w="1728"/>
            <w:vAlign w:val="center"/>
          </w:tcPr>
          <w:p>
            <w:r/>
            <w:r>
              <w:rPr>
                <w:b w:val="0"/>
              </w:rPr>
              <w:t>Overdue: 2026-05-19</w:t>
            </w:r>
          </w:p>
        </w:tc>
        <w:tc>
          <w:tcPr>
            <w:tcW w:type="dxa" w:w="1440"/>
            <w:vAlign w:val="center"/>
          </w:tcPr>
          <w:p>
            <w:r/>
            <w:r>
              <w:rPr>
                <w:b w:val="0"/>
              </w:rPr>
              <w:t>0% / not exposed</w:t>
            </w:r>
          </w:p>
        </w:tc>
        <w:tc>
          <w:tcPr>
            <w:tcW w:type="dxa" w:w="3312"/>
            <w:vAlign w:val="center"/>
          </w:tcPr>
          <w:p>
            <w:r/>
            <w:r>
              <w:rPr>
                <w:b w:val="0"/>
              </w:rPr>
              <w:t>Highest priority; overdue and safety-validation related.</w:t>
            </w:r>
          </w:p>
        </w:tc>
      </w:tr>
      <w:tr>
        <w:tc>
          <w:tcPr>
            <w:tcW w:type="dxa" w:w="1152"/>
            <w:vAlign w:val="center"/>
          </w:tcPr>
          <w:p>
            <w:r/>
            <w:r>
              <w:rPr>
                <w:b w:val="0"/>
              </w:rPr>
              <w:t>CDA-65</w:t>
            </w:r>
          </w:p>
        </w:tc>
        <w:tc>
          <w:tcPr>
            <w:tcW w:type="dxa" w:w="4608"/>
            <w:vAlign w:val="center"/>
          </w:tcPr>
          <w:p>
            <w:r/>
            <w:r>
              <w:rPr>
                <w:b w:val="0"/>
              </w:rPr>
              <w:t>OCU failed to write configuration while 2.3.2.0 succeeded</w:t>
            </w:r>
          </w:p>
        </w:tc>
        <w:tc>
          <w:tcPr>
            <w:tcW w:type="dxa" w:w="1944"/>
            <w:vAlign w:val="center"/>
          </w:tcPr>
          <w:p>
            <w:r/>
            <w:r>
              <w:rPr>
                <w:b w:val="0"/>
              </w:rPr>
              <w:t>Duyet Vo</w:t>
            </w:r>
          </w:p>
        </w:tc>
        <w:tc>
          <w:tcPr>
            <w:tcW w:type="dxa" w:w="1656"/>
            <w:vAlign w:val="center"/>
          </w:tcPr>
          <w:p>
            <w:r/>
            <w:r>
              <w:rPr>
                <w:b w:val="0"/>
              </w:rPr>
              <w:t>TESTING/VALIDATION</w:t>
            </w:r>
          </w:p>
        </w:tc>
        <w:tc>
          <w:tcPr>
            <w:tcW w:type="dxa" w:w="1728"/>
            <w:vAlign w:val="center"/>
          </w:tcPr>
          <w:p>
            <w:r/>
            <w:r>
              <w:rPr>
                <w:b w:val="0"/>
              </w:rPr>
              <w:t>Not available</w:t>
            </w:r>
          </w:p>
        </w:tc>
        <w:tc>
          <w:tcPr>
            <w:tcW w:type="dxa" w:w="1440"/>
            <w:vAlign w:val="center"/>
          </w:tcPr>
          <w:p>
            <w:r/>
            <w:r>
              <w:rPr>
                <w:b w:val="0"/>
              </w:rPr>
              <w:t>0% / not exposed</w:t>
            </w:r>
          </w:p>
        </w:tc>
        <w:tc>
          <w:tcPr>
            <w:tcW w:type="dxa" w:w="3312"/>
            <w:vAlign w:val="center"/>
          </w:tcPr>
          <w:p>
            <w:r/>
            <w:r>
              <w:rPr>
                <w:b w:val="0"/>
              </w:rPr>
              <w:t>Highest priority; long-running validation item.</w:t>
            </w:r>
          </w:p>
        </w:tc>
      </w:tr>
      <w:tr>
        <w:tc>
          <w:tcPr>
            <w:tcW w:type="dxa" w:w="1152"/>
            <w:vAlign w:val="center"/>
          </w:tcPr>
          <w:p>
            <w:r/>
            <w:r>
              <w:rPr>
                <w:b w:val="0"/>
              </w:rPr>
              <w:t>IROCU-7</w:t>
            </w:r>
          </w:p>
        </w:tc>
        <w:tc>
          <w:tcPr>
            <w:tcW w:type="dxa" w:w="4608"/>
            <w:vAlign w:val="center"/>
          </w:tcPr>
          <w:p>
            <w:r/>
            <w:r>
              <w:rPr>
                <w:b w:val="0"/>
              </w:rPr>
              <w:t>IR SubGHz Radio SDK 4.4.6 issue with REV C radio modules</w:t>
            </w:r>
          </w:p>
        </w:tc>
        <w:tc>
          <w:tcPr>
            <w:tcW w:type="dxa" w:w="1944"/>
            <w:vAlign w:val="center"/>
          </w:tcPr>
          <w:p>
            <w:r/>
            <w:r>
              <w:rPr>
                <w:b w:val="0"/>
              </w:rPr>
              <w:t>Duyet Vo</w:t>
            </w:r>
          </w:p>
        </w:tc>
        <w:tc>
          <w:tcPr>
            <w:tcW w:type="dxa" w:w="1656"/>
            <w:vAlign w:val="center"/>
          </w:tcPr>
          <w:p>
            <w:r/>
            <w:r>
              <w:rPr>
                <w:b w:val="0"/>
              </w:rPr>
              <w:t>TESTING/VALIDATION</w:t>
            </w:r>
          </w:p>
        </w:tc>
        <w:tc>
          <w:tcPr>
            <w:tcW w:type="dxa" w:w="1728"/>
            <w:vAlign w:val="center"/>
          </w:tcPr>
          <w:p>
            <w:r/>
            <w:r>
              <w:rPr>
                <w:b w:val="0"/>
              </w:rPr>
              <w:t>Not available</w:t>
            </w:r>
          </w:p>
        </w:tc>
        <w:tc>
          <w:tcPr>
            <w:tcW w:type="dxa" w:w="1440"/>
            <w:vAlign w:val="center"/>
          </w:tcPr>
          <w:p>
            <w:r/>
            <w:r>
              <w:rPr>
                <w:b w:val="0"/>
              </w:rPr>
              <w:t>0% / not exposed</w:t>
            </w:r>
          </w:p>
        </w:tc>
        <w:tc>
          <w:tcPr>
            <w:tcW w:type="dxa" w:w="3312"/>
            <w:vAlign w:val="center"/>
          </w:tcPr>
          <w:p>
            <w:r/>
            <w:r>
              <w:rPr>
                <w:b w:val="0"/>
              </w:rPr>
              <w:t>Highest priority; aging firmware/radio compatibility risk.</w:t>
            </w:r>
          </w:p>
        </w:tc>
      </w:tr>
      <w:tr>
        <w:tc>
          <w:tcPr>
            <w:tcW w:type="dxa" w:w="1152"/>
            <w:vAlign w:val="center"/>
          </w:tcPr>
          <w:p>
            <w:r/>
            <w:r>
              <w:rPr>
                <w:b w:val="0"/>
              </w:rPr>
              <w:t>CDA-118</w:t>
            </w:r>
          </w:p>
        </w:tc>
        <w:tc>
          <w:tcPr>
            <w:tcW w:type="dxa" w:w="4608"/>
            <w:vAlign w:val="center"/>
          </w:tcPr>
          <w:p>
            <w:r/>
            <w:r>
              <w:rPr>
                <w:b w:val="0"/>
              </w:rPr>
              <w:t>Invalid Telegram Byte/Bit Configuration can be saved or written</w:t>
            </w:r>
          </w:p>
        </w:tc>
        <w:tc>
          <w:tcPr>
            <w:tcW w:type="dxa" w:w="1944"/>
            <w:vAlign w:val="center"/>
          </w:tcPr>
          <w:p>
            <w:r/>
            <w:r>
              <w:rPr>
                <w:b w:val="0"/>
              </w:rPr>
              <w:t>Nagesh Prajapati</w:t>
            </w:r>
          </w:p>
        </w:tc>
        <w:tc>
          <w:tcPr>
            <w:tcW w:type="dxa" w:w="1656"/>
            <w:vAlign w:val="center"/>
          </w:tcPr>
          <w:p>
            <w:r/>
            <w:r>
              <w:rPr>
                <w:b w:val="0"/>
              </w:rPr>
              <w:t>In Progress</w:t>
            </w:r>
          </w:p>
        </w:tc>
        <w:tc>
          <w:tcPr>
            <w:tcW w:type="dxa" w:w="1728"/>
            <w:vAlign w:val="center"/>
          </w:tcPr>
          <w:p>
            <w:r/>
            <w:r>
              <w:rPr>
                <w:b w:val="0"/>
              </w:rPr>
              <w:t>Not available</w:t>
            </w:r>
          </w:p>
        </w:tc>
        <w:tc>
          <w:tcPr>
            <w:tcW w:type="dxa" w:w="1440"/>
            <w:vAlign w:val="center"/>
          </w:tcPr>
          <w:p>
            <w:r/>
            <w:r>
              <w:rPr>
                <w:b w:val="0"/>
              </w:rPr>
              <w:t>0% / not exposed</w:t>
            </w:r>
          </w:p>
        </w:tc>
        <w:tc>
          <w:tcPr>
            <w:tcW w:type="dxa" w:w="3312"/>
            <w:vAlign w:val="center"/>
          </w:tcPr>
          <w:p>
            <w:r/>
            <w:r>
              <w:rPr>
                <w:b w:val="0"/>
              </w:rPr>
              <w:t>Recent open defect; validation gap.</w:t>
            </w:r>
          </w:p>
        </w:tc>
      </w:tr>
      <w:tr>
        <w:tc>
          <w:tcPr>
            <w:tcW w:type="dxa" w:w="1152"/>
            <w:vAlign w:val="center"/>
          </w:tcPr>
          <w:p>
            <w:r/>
            <w:r>
              <w:rPr>
                <w:b w:val="0"/>
              </w:rPr>
              <w:t>CDA-102</w:t>
            </w:r>
          </w:p>
        </w:tc>
        <w:tc>
          <w:tcPr>
            <w:tcW w:type="dxa" w:w="4608"/>
            <w:vAlign w:val="center"/>
          </w:tcPr>
          <w:p>
            <w:r/>
            <w:r>
              <w:rPr>
                <w:b w:val="0"/>
              </w:rPr>
              <w:t>Export user variables</w:t>
            </w:r>
          </w:p>
        </w:tc>
        <w:tc>
          <w:tcPr>
            <w:tcW w:type="dxa" w:w="1944"/>
            <w:vAlign w:val="center"/>
          </w:tcPr>
          <w:p>
            <w:r/>
            <w:r>
              <w:rPr>
                <w:b w:val="0"/>
              </w:rPr>
              <w:t>Sambangi Sankararao</w:t>
            </w:r>
          </w:p>
        </w:tc>
        <w:tc>
          <w:tcPr>
            <w:tcW w:type="dxa" w:w="1656"/>
            <w:vAlign w:val="center"/>
          </w:tcPr>
          <w:p>
            <w:r/>
            <w:r>
              <w:rPr>
                <w:b w:val="0"/>
              </w:rPr>
              <w:t>In Progress</w:t>
            </w:r>
          </w:p>
        </w:tc>
        <w:tc>
          <w:tcPr>
            <w:tcW w:type="dxa" w:w="1728"/>
            <w:vAlign w:val="center"/>
          </w:tcPr>
          <w:p>
            <w:r/>
            <w:r>
              <w:rPr>
                <w:b w:val="0"/>
              </w:rPr>
              <w:t>Overdue: 2026-06-19</w:t>
            </w:r>
          </w:p>
        </w:tc>
        <w:tc>
          <w:tcPr>
            <w:tcW w:type="dxa" w:w="1440"/>
            <w:vAlign w:val="center"/>
          </w:tcPr>
          <w:p>
            <w:r/>
            <w:r>
              <w:rPr>
                <w:b w:val="0"/>
              </w:rPr>
              <w:t>0% / not exposed</w:t>
            </w:r>
          </w:p>
        </w:tc>
        <w:tc>
          <w:tcPr>
            <w:tcW w:type="dxa" w:w="3312"/>
            <w:vAlign w:val="center"/>
          </w:tcPr>
          <w:p>
            <w:r/>
            <w:r>
              <w:rPr>
                <w:b w:val="0"/>
              </w:rPr>
              <w:t>Overdue story; milestone risk.</w:t>
            </w:r>
          </w:p>
        </w:tc>
      </w:tr>
      <w:tr>
        <w:tc>
          <w:tcPr>
            <w:tcW w:type="dxa" w:w="1152"/>
            <w:vAlign w:val="center"/>
          </w:tcPr>
          <w:p>
            <w:r/>
            <w:r>
              <w:rPr>
                <w:b w:val="0"/>
              </w:rPr>
              <w:t>IRMCU-4</w:t>
            </w:r>
          </w:p>
        </w:tc>
        <w:tc>
          <w:tcPr>
            <w:tcW w:type="dxa" w:w="4608"/>
            <w:vAlign w:val="center"/>
          </w:tcPr>
          <w:p>
            <w:r/>
            <w:r>
              <w:rPr>
                <w:b w:val="0"/>
              </w:rPr>
              <w:t>50C-50312043 failure sent for investigation</w:t>
            </w:r>
          </w:p>
        </w:tc>
        <w:tc>
          <w:tcPr>
            <w:tcW w:type="dxa" w:w="1944"/>
            <w:vAlign w:val="center"/>
          </w:tcPr>
          <w:p>
            <w:r/>
            <w:r>
              <w:rPr>
                <w:b w:val="0"/>
              </w:rPr>
              <w:t>Unassigned</w:t>
            </w:r>
          </w:p>
        </w:tc>
        <w:tc>
          <w:tcPr>
            <w:tcW w:type="dxa" w:w="1656"/>
            <w:vAlign w:val="center"/>
          </w:tcPr>
          <w:p>
            <w:r/>
            <w:r>
              <w:rPr>
                <w:b w:val="0"/>
              </w:rPr>
              <w:t>In Progress</w:t>
            </w:r>
          </w:p>
        </w:tc>
        <w:tc>
          <w:tcPr>
            <w:tcW w:type="dxa" w:w="1728"/>
            <w:vAlign w:val="center"/>
          </w:tcPr>
          <w:p>
            <w:r/>
            <w:r>
              <w:rPr>
                <w:b w:val="0"/>
              </w:rPr>
              <w:t>Not available</w:t>
            </w:r>
          </w:p>
        </w:tc>
        <w:tc>
          <w:tcPr>
            <w:tcW w:type="dxa" w:w="1440"/>
            <w:vAlign w:val="center"/>
          </w:tcPr>
          <w:p>
            <w:r/>
            <w:r>
              <w:rPr>
                <w:b w:val="0"/>
              </w:rPr>
              <w:t>0% / not exposed</w:t>
            </w:r>
          </w:p>
        </w:tc>
        <w:tc>
          <w:tcPr>
            <w:tcW w:type="dxa" w:w="3312"/>
            <w:vAlign w:val="center"/>
          </w:tcPr>
          <w:p>
            <w:r/>
            <w:r>
              <w:rPr>
                <w:b w:val="0"/>
              </w:rPr>
              <w:t>Unassigned active defect; ownership required.</w:t>
            </w:r>
          </w:p>
        </w:tc>
      </w:tr>
    </w:tbl>
    <w:p/>
    <w:p>
      <w:r>
        <w:t>Portfolio WIP count: 107 issues with Jira status category In Progress. Jira progress fields are mostly empty/zero, so percent complete cannot be reliably computed beyond explicitly exposed progress values.</w:t>
      </w:r>
    </w:p>
    <w:p>
      <w:pPr>
        <w:pStyle w:val="Heading1"/>
      </w:pPr>
      <w:r>
        <w:t>4. Blocked Issues</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1584"/>
            <w:vAlign w:val="center"/>
            <w:shd w:fill="D9EAF7"/>
          </w:tcPr>
          <w:p>
            <w:r/>
            <w:r>
              <w:rPr>
                <w:b/>
              </w:rPr>
              <w:t>Blocked count</w:t>
            </w:r>
          </w:p>
        </w:tc>
        <w:tc>
          <w:tcPr>
            <w:tcW w:type="dxa" w:w="4608"/>
            <w:vAlign w:val="center"/>
            <w:shd w:fill="D9EAF7"/>
          </w:tcPr>
          <w:p>
            <w:r/>
            <w:r>
              <w:rPr>
                <w:b/>
              </w:rPr>
              <w:t>Evidence</w:t>
            </w:r>
          </w:p>
        </w:tc>
        <w:tc>
          <w:tcPr>
            <w:tcW w:type="dxa" w:w="1584"/>
            <w:vAlign w:val="center"/>
            <w:shd w:fill="D9EAF7"/>
          </w:tcPr>
          <w:p>
            <w:r/>
            <w:r>
              <w:rPr>
                <w:b/>
              </w:rPr>
              <w:t>Owner</w:t>
            </w:r>
          </w:p>
        </w:tc>
        <w:tc>
          <w:tcPr>
            <w:tcW w:type="dxa" w:w="3744"/>
            <w:vAlign w:val="center"/>
            <w:shd w:fill="D9EAF7"/>
          </w:tcPr>
          <w:p>
            <w:r/>
            <w:r>
              <w:rPr>
                <w:b/>
              </w:rPr>
              <w:t>Required action</w:t>
            </w:r>
          </w:p>
        </w:tc>
        <w:tc>
          <w:tcPr>
            <w:tcW w:type="dxa" w:w="1584"/>
            <w:vAlign w:val="center"/>
            <w:shd w:fill="D9EAF7"/>
          </w:tcPr>
          <w:p>
            <w:r/>
            <w:r>
              <w:rPr>
                <w:b/>
              </w:rPr>
              <w:t>Blocker age</w:t>
            </w:r>
          </w:p>
        </w:tc>
      </w:tr>
      <w:tr>
        <w:tc>
          <w:tcPr>
            <w:tcW w:type="dxa" w:w="1584"/>
            <w:vAlign w:val="center"/>
          </w:tcPr>
          <w:p>
            <w:r/>
            <w:r>
              <w:rPr>
                <w:b w:val="0"/>
              </w:rPr>
              <w:t>0</w:t>
            </w:r>
          </w:p>
        </w:tc>
        <w:tc>
          <w:tcPr>
            <w:tcW w:type="dxa" w:w="4608"/>
            <w:vAlign w:val="center"/>
          </w:tcPr>
          <w:p>
            <w:r/>
            <w:r>
              <w:rPr>
                <w:b w:val="0"/>
              </w:rPr>
              <w:t>No issues matched status = Blocked or labels blocked/blocker/impediment.</w:t>
            </w:r>
          </w:p>
        </w:tc>
        <w:tc>
          <w:tcPr>
            <w:tcW w:type="dxa" w:w="1584"/>
            <w:vAlign w:val="center"/>
          </w:tcPr>
          <w:p>
            <w:r/>
            <w:r>
              <w:rPr>
                <w:b w:val="0"/>
              </w:rPr>
              <w:t>N/A</w:t>
            </w:r>
          </w:p>
        </w:tc>
        <w:tc>
          <w:tcPr>
            <w:tcW w:type="dxa" w:w="3744"/>
            <w:vAlign w:val="center"/>
          </w:tcPr>
          <w:p>
            <w:r/>
            <w:r>
              <w:rPr>
                <w:b w:val="0"/>
              </w:rPr>
              <w:t>Continue enforcing blocker labels/status for MOR visibility.</w:t>
            </w:r>
          </w:p>
        </w:tc>
        <w:tc>
          <w:tcPr>
            <w:tcW w:type="dxa" w:w="1584"/>
            <w:vAlign w:val="center"/>
          </w:tcPr>
          <w:p>
            <w:r/>
            <w:r>
              <w:rPr>
                <w:b w:val="0"/>
              </w:rPr>
              <w:t>N/A</w:t>
            </w:r>
          </w:p>
        </w:tc>
      </w:tr>
    </w:tbl>
    <w:p/>
    <w:p>
      <w:pPr>
        <w:pStyle w:val="Heading1"/>
      </w:pPr>
      <w:r>
        <w:t>5. Sprint Status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880"/>
            <w:vAlign w:val="center"/>
            <w:shd w:fill="D9EAF7"/>
          </w:tcPr>
          <w:p>
            <w:r/>
            <w:r>
              <w:rPr>
                <w:b/>
              </w:rPr>
              <w:t>Sprint element</w:t>
            </w:r>
          </w:p>
        </w:tc>
        <w:tc>
          <w:tcPr>
            <w:tcW w:type="dxa" w:w="2160"/>
            <w:vAlign w:val="center"/>
            <w:shd w:fill="D9EAF7"/>
          </w:tcPr>
          <w:p>
            <w:r/>
            <w:r>
              <w:rPr>
                <w:b/>
              </w:rPr>
              <w:t>Current value</w:t>
            </w:r>
          </w:p>
        </w:tc>
        <w:tc>
          <w:tcPr>
            <w:tcW w:type="dxa" w:w="1440"/>
            <w:vAlign w:val="center"/>
            <w:shd w:fill="D9EAF7"/>
          </w:tcPr>
          <w:p>
            <w:r/>
            <w:r>
              <w:rPr>
                <w:b/>
              </w:rPr>
              <w:t>Status</w:t>
            </w:r>
          </w:p>
        </w:tc>
        <w:tc>
          <w:tcPr>
            <w:tcW w:type="dxa" w:w="5760"/>
            <w:vAlign w:val="center"/>
            <w:shd w:fill="D9EAF7"/>
          </w:tcPr>
          <w:p>
            <w:r/>
            <w:r>
              <w:rPr>
                <w:b/>
              </w:rPr>
              <w:t>Notes</w:t>
            </w:r>
          </w:p>
        </w:tc>
      </w:tr>
      <w:tr>
        <w:tc>
          <w:tcPr>
            <w:tcW w:type="dxa" w:w="2880"/>
            <w:vAlign w:val="center"/>
          </w:tcPr>
          <w:p>
            <w:r/>
            <w:r>
              <w:rPr>
                <w:b w:val="0"/>
              </w:rPr>
              <w:t>Sprint goal</w:t>
            </w:r>
          </w:p>
        </w:tc>
        <w:tc>
          <w:tcPr>
            <w:tcW w:type="dxa" w:w="2160"/>
            <w:vAlign w:val="center"/>
          </w:tcPr>
          <w:p>
            <w:r/>
            <w:r>
              <w:rPr>
                <w:b w:val="0"/>
              </w:rPr>
              <w:t>Not available</w:t>
            </w:r>
          </w:p>
        </w:tc>
        <w:tc>
          <w:tcPr>
            <w:tcW w:type="dxa" w:w="1440"/>
            <w:vAlign w:val="center"/>
          </w:tcPr>
          <w:p>
            <w:r/>
            <w:r>
              <w:rPr>
                <w:b w:val="0"/>
              </w:rPr>
              <w:t>Red</w:t>
            </w:r>
          </w:p>
        </w:tc>
        <w:tc>
          <w:tcPr>
            <w:tcW w:type="dxa" w:w="5760"/>
            <w:vAlign w:val="center"/>
          </w:tcPr>
          <w:p>
            <w:r/>
            <w:r>
              <w:rPr>
                <w:b w:val="0"/>
              </w:rPr>
              <w:t>Sprint goal was not exposed through available Jira issue fields.</w:t>
            </w:r>
          </w:p>
        </w:tc>
      </w:tr>
      <w:tr>
        <w:tc>
          <w:tcPr>
            <w:tcW w:type="dxa" w:w="2880"/>
            <w:vAlign w:val="center"/>
          </w:tcPr>
          <w:p>
            <w:r/>
            <w:r>
              <w:rPr>
                <w:b w:val="0"/>
              </w:rPr>
              <w:t>Story points completed</w:t>
            </w:r>
          </w:p>
        </w:tc>
        <w:tc>
          <w:tcPr>
            <w:tcW w:type="dxa" w:w="2160"/>
            <w:vAlign w:val="center"/>
          </w:tcPr>
          <w:p>
            <w:r/>
            <w:r>
              <w:rPr>
                <w:b w:val="0"/>
              </w:rPr>
              <w:t>Not available</w:t>
            </w:r>
          </w:p>
        </w:tc>
        <w:tc>
          <w:tcPr>
            <w:tcW w:type="dxa" w:w="1440"/>
            <w:vAlign w:val="center"/>
          </w:tcPr>
          <w:p>
            <w:r/>
            <w:r>
              <w:rPr>
                <w:b w:val="0"/>
              </w:rPr>
              <w:t>Red</w:t>
            </w:r>
          </w:p>
        </w:tc>
        <w:tc>
          <w:tcPr>
            <w:tcW w:type="dxa" w:w="5760"/>
            <w:vAlign w:val="center"/>
          </w:tcPr>
          <w:p>
            <w:r/>
            <w:r>
              <w:rPr>
                <w:b w:val="0"/>
              </w:rPr>
              <w:t>Story point fields were not available in retrieved issue data.</w:t>
            </w:r>
          </w:p>
        </w:tc>
      </w:tr>
      <w:tr>
        <w:tc>
          <w:tcPr>
            <w:tcW w:type="dxa" w:w="2880"/>
            <w:vAlign w:val="center"/>
          </w:tcPr>
          <w:p>
            <w:r/>
            <w:r>
              <w:rPr>
                <w:b w:val="0"/>
              </w:rPr>
              <w:t>Story points remaining</w:t>
            </w:r>
          </w:p>
        </w:tc>
        <w:tc>
          <w:tcPr>
            <w:tcW w:type="dxa" w:w="2160"/>
            <w:vAlign w:val="center"/>
          </w:tcPr>
          <w:p>
            <w:r/>
            <w:r>
              <w:rPr>
                <w:b w:val="0"/>
              </w:rPr>
              <w:t>Not available</w:t>
            </w:r>
          </w:p>
        </w:tc>
        <w:tc>
          <w:tcPr>
            <w:tcW w:type="dxa" w:w="1440"/>
            <w:vAlign w:val="center"/>
          </w:tcPr>
          <w:p>
            <w:r/>
            <w:r>
              <w:rPr>
                <w:b w:val="0"/>
              </w:rPr>
              <w:t>Red</w:t>
            </w:r>
          </w:p>
        </w:tc>
        <w:tc>
          <w:tcPr>
            <w:tcW w:type="dxa" w:w="5760"/>
            <w:vAlign w:val="center"/>
          </w:tcPr>
          <w:p>
            <w:r/>
            <w:r>
              <w:rPr>
                <w:b w:val="0"/>
              </w:rPr>
              <w:t>Cannot calculate remaining planned scope without sprint/story point fields.</w:t>
            </w:r>
          </w:p>
        </w:tc>
      </w:tr>
      <w:tr>
        <w:tc>
          <w:tcPr>
            <w:tcW w:type="dxa" w:w="2880"/>
            <w:vAlign w:val="center"/>
          </w:tcPr>
          <w:p>
            <w:r/>
            <w:r>
              <w:rPr>
                <w:b w:val="0"/>
              </w:rPr>
              <w:t>Burndown summary</w:t>
            </w:r>
          </w:p>
        </w:tc>
        <w:tc>
          <w:tcPr>
            <w:tcW w:type="dxa" w:w="2160"/>
            <w:vAlign w:val="center"/>
          </w:tcPr>
          <w:p>
            <w:r/>
            <w:r>
              <w:rPr>
                <w:b w:val="0"/>
              </w:rPr>
              <w:t>Not available</w:t>
            </w:r>
          </w:p>
        </w:tc>
        <w:tc>
          <w:tcPr>
            <w:tcW w:type="dxa" w:w="1440"/>
            <w:vAlign w:val="center"/>
          </w:tcPr>
          <w:p>
            <w:r/>
            <w:r>
              <w:rPr>
                <w:b w:val="0"/>
              </w:rPr>
              <w:t>Red</w:t>
            </w:r>
          </w:p>
        </w:tc>
        <w:tc>
          <w:tcPr>
            <w:tcW w:type="dxa" w:w="5760"/>
            <w:vAlign w:val="center"/>
          </w:tcPr>
          <w:p>
            <w:r/>
            <w:r>
              <w:rPr>
                <w:b w:val="0"/>
              </w:rPr>
              <w:t>Burndown is not available from issue search data.</w:t>
            </w:r>
          </w:p>
        </w:tc>
      </w:tr>
      <w:tr>
        <w:tc>
          <w:tcPr>
            <w:tcW w:type="dxa" w:w="2880"/>
            <w:vAlign w:val="center"/>
          </w:tcPr>
          <w:p>
            <w:r/>
            <w:r>
              <w:rPr>
                <w:b w:val="0"/>
              </w:rPr>
              <w:t>Predicted sprint completion</w:t>
            </w:r>
          </w:p>
        </w:tc>
        <w:tc>
          <w:tcPr>
            <w:tcW w:type="dxa" w:w="2160"/>
            <w:vAlign w:val="center"/>
          </w:tcPr>
          <w:p>
            <w:r/>
            <w:r>
              <w:rPr>
                <w:b w:val="0"/>
              </w:rPr>
              <w:t>Not available</w:t>
            </w:r>
          </w:p>
        </w:tc>
        <w:tc>
          <w:tcPr>
            <w:tcW w:type="dxa" w:w="1440"/>
            <w:vAlign w:val="center"/>
          </w:tcPr>
          <w:p>
            <w:r/>
            <w:r>
              <w:rPr>
                <w:b w:val="0"/>
              </w:rPr>
              <w:t>Red</w:t>
            </w:r>
          </w:p>
        </w:tc>
        <w:tc>
          <w:tcPr>
            <w:tcW w:type="dxa" w:w="5760"/>
            <w:vAlign w:val="center"/>
          </w:tcPr>
          <w:p>
            <w:r/>
            <w:r>
              <w:rPr>
                <w:b w:val="0"/>
              </w:rPr>
              <w:t>Cannot forecast sprint completion without sprint scope, velocity, and burndown data.</w:t>
            </w:r>
          </w:p>
        </w:tc>
      </w:tr>
    </w:tbl>
    <w:p/>
    <w:p>
      <w:pPr>
        <w:pStyle w:val="Heading1"/>
      </w:pPr>
      <w:r>
        <w:t>6. KPI Dashboard</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3024"/>
            <w:vAlign w:val="center"/>
            <w:shd w:fill="D9EAF7"/>
          </w:tcPr>
          <w:p>
            <w:r/>
            <w:r>
              <w:rPr>
                <w:b/>
              </w:rPr>
              <w:t>KPI</w:t>
            </w:r>
          </w:p>
        </w:tc>
        <w:tc>
          <w:tcPr>
            <w:tcW w:type="dxa" w:w="2880"/>
            <w:vAlign w:val="center"/>
            <w:shd w:fill="D9EAF7"/>
          </w:tcPr>
          <w:p>
            <w:r/>
            <w:r>
              <w:rPr>
                <w:b/>
              </w:rPr>
              <w:t>Value</w:t>
            </w:r>
          </w:p>
        </w:tc>
        <w:tc>
          <w:tcPr>
            <w:tcW w:type="dxa" w:w="1296"/>
            <w:vAlign w:val="center"/>
            <w:shd w:fill="D9EAF7"/>
          </w:tcPr>
          <w:p>
            <w:r/>
            <w:r>
              <w:rPr>
                <w:b/>
              </w:rPr>
              <w:t>Status</w:t>
            </w:r>
          </w:p>
        </w:tc>
        <w:tc>
          <w:tcPr>
            <w:tcW w:type="dxa" w:w="5184"/>
            <w:vAlign w:val="center"/>
            <w:shd w:fill="D9EAF7"/>
          </w:tcPr>
          <w:p>
            <w:r/>
            <w:r>
              <w:rPr>
                <w:b/>
              </w:rPr>
              <w:t>Comment</w:t>
            </w:r>
          </w:p>
        </w:tc>
      </w:tr>
      <w:tr>
        <w:tc>
          <w:tcPr>
            <w:tcW w:type="dxa" w:w="3024"/>
            <w:vAlign w:val="center"/>
          </w:tcPr>
          <w:p>
            <w:r/>
            <w:r>
              <w:rPr>
                <w:b w:val="0"/>
              </w:rPr>
              <w:t>Total open issues</w:t>
            </w:r>
          </w:p>
        </w:tc>
        <w:tc>
          <w:tcPr>
            <w:tcW w:type="dxa" w:w="2880"/>
            <w:vAlign w:val="center"/>
          </w:tcPr>
          <w:p>
            <w:r/>
            <w:r>
              <w:rPr>
                <w:b w:val="0"/>
              </w:rPr>
              <w:t>176</w:t>
            </w:r>
          </w:p>
        </w:tc>
        <w:tc>
          <w:tcPr>
            <w:tcW w:type="dxa" w:w="1296"/>
            <w:vAlign w:val="center"/>
          </w:tcPr>
          <w:p>
            <w:r/>
            <w:r>
              <w:rPr>
                <w:b w:val="0"/>
              </w:rPr>
              <w:t>Red</w:t>
            </w:r>
          </w:p>
        </w:tc>
        <w:tc>
          <w:tcPr>
            <w:tcW w:type="dxa" w:w="5184"/>
            <w:vAlign w:val="center"/>
          </w:tcPr>
          <w:p>
            <w:r/>
            <w:r>
              <w:rPr>
                <w:b w:val="0"/>
              </w:rPr>
              <w:t>Includes all statusCategory != Done issues across scoped projects.</w:t>
            </w:r>
          </w:p>
        </w:tc>
      </w:tr>
      <w:tr>
        <w:tc>
          <w:tcPr>
            <w:tcW w:type="dxa" w:w="3024"/>
            <w:vAlign w:val="center"/>
          </w:tcPr>
          <w:p>
            <w:r/>
            <w:r>
              <w:rPr>
                <w:b w:val="0"/>
              </w:rPr>
              <w:t>Open defects</w:t>
            </w:r>
          </w:p>
        </w:tc>
        <w:tc>
          <w:tcPr>
            <w:tcW w:type="dxa" w:w="2880"/>
            <w:vAlign w:val="center"/>
          </w:tcPr>
          <w:p>
            <w:r/>
            <w:r>
              <w:rPr>
                <w:b w:val="0"/>
              </w:rPr>
              <w:t>117</w:t>
            </w:r>
          </w:p>
        </w:tc>
        <w:tc>
          <w:tcPr>
            <w:tcW w:type="dxa" w:w="1296"/>
            <w:vAlign w:val="center"/>
          </w:tcPr>
          <w:p>
            <w:r/>
            <w:r>
              <w:rPr>
                <w:b w:val="0"/>
              </w:rPr>
              <w:t>Red</w:t>
            </w:r>
          </w:p>
        </w:tc>
        <w:tc>
          <w:tcPr>
            <w:tcW w:type="dxa" w:w="5184"/>
            <w:vAlign w:val="center"/>
          </w:tcPr>
          <w:p>
            <w:r/>
            <w:r>
              <w:rPr>
                <w:b w:val="0"/>
              </w:rPr>
              <w:t>Defects dominate the open portfolio.</w:t>
            </w:r>
          </w:p>
        </w:tc>
      </w:tr>
      <w:tr>
        <w:tc>
          <w:tcPr>
            <w:tcW w:type="dxa" w:w="3024"/>
            <w:vAlign w:val="center"/>
          </w:tcPr>
          <w:p>
            <w:r/>
            <w:r>
              <w:rPr>
                <w:b w:val="0"/>
              </w:rPr>
              <w:t>Issues completed this week</w:t>
            </w:r>
          </w:p>
        </w:tc>
        <w:tc>
          <w:tcPr>
            <w:tcW w:type="dxa" w:w="2880"/>
            <w:vAlign w:val="center"/>
          </w:tcPr>
          <w:p>
            <w:r/>
            <w:r>
              <w:rPr>
                <w:b w:val="0"/>
              </w:rPr>
              <w:t>1</w:t>
            </w:r>
          </w:p>
        </w:tc>
        <w:tc>
          <w:tcPr>
            <w:tcW w:type="dxa" w:w="1296"/>
            <w:vAlign w:val="center"/>
          </w:tcPr>
          <w:p>
            <w:r/>
            <w:r>
              <w:rPr>
                <w:b w:val="0"/>
              </w:rPr>
              <w:t>Amber</w:t>
            </w:r>
          </w:p>
        </w:tc>
        <w:tc>
          <w:tcPr>
            <w:tcW w:type="dxa" w:w="5184"/>
            <w:vAlign w:val="center"/>
          </w:tcPr>
          <w:p>
            <w:r/>
            <w:r>
              <w:rPr>
                <w:b w:val="0"/>
              </w:rPr>
              <w:t>Only CDA-116 resolved in the last 7 days.</w:t>
            </w:r>
          </w:p>
        </w:tc>
      </w:tr>
      <w:tr>
        <w:tc>
          <w:tcPr>
            <w:tcW w:type="dxa" w:w="3024"/>
            <w:vAlign w:val="center"/>
          </w:tcPr>
          <w:p>
            <w:r/>
            <w:r>
              <w:rPr>
                <w:b w:val="0"/>
              </w:rPr>
              <w:t>Issues completed today</w:t>
            </w:r>
          </w:p>
        </w:tc>
        <w:tc>
          <w:tcPr>
            <w:tcW w:type="dxa" w:w="2880"/>
            <w:vAlign w:val="center"/>
          </w:tcPr>
          <w:p>
            <w:r/>
            <w:r>
              <w:rPr>
                <w:b w:val="0"/>
              </w:rPr>
              <w:t>0</w:t>
            </w:r>
          </w:p>
        </w:tc>
        <w:tc>
          <w:tcPr>
            <w:tcW w:type="dxa" w:w="1296"/>
            <w:vAlign w:val="center"/>
          </w:tcPr>
          <w:p>
            <w:r/>
            <w:r>
              <w:rPr>
                <w:b w:val="0"/>
              </w:rPr>
              <w:t>Amber</w:t>
            </w:r>
          </w:p>
        </w:tc>
        <w:tc>
          <w:tcPr>
            <w:tcW w:type="dxa" w:w="5184"/>
            <w:vAlign w:val="center"/>
          </w:tcPr>
          <w:p>
            <w:r/>
            <w:r>
              <w:rPr>
                <w:b w:val="0"/>
              </w:rPr>
              <w:t>No issues resolved on June 23 at refresh time.</w:t>
            </w:r>
          </w:p>
        </w:tc>
      </w:tr>
      <w:tr>
        <w:tc>
          <w:tcPr>
            <w:tcW w:type="dxa" w:w="3024"/>
            <w:vAlign w:val="center"/>
          </w:tcPr>
          <w:p>
            <w:r/>
            <w:r>
              <w:rPr>
                <w:b w:val="0"/>
              </w:rPr>
              <w:t>Blocked ticket count</w:t>
            </w:r>
          </w:p>
        </w:tc>
        <w:tc>
          <w:tcPr>
            <w:tcW w:type="dxa" w:w="2880"/>
            <w:vAlign w:val="center"/>
          </w:tcPr>
          <w:p>
            <w:r/>
            <w:r>
              <w:rPr>
                <w:b w:val="0"/>
              </w:rPr>
              <w:t>0</w:t>
            </w:r>
          </w:p>
        </w:tc>
        <w:tc>
          <w:tcPr>
            <w:tcW w:type="dxa" w:w="1296"/>
            <w:vAlign w:val="center"/>
          </w:tcPr>
          <w:p>
            <w:r/>
            <w:r>
              <w:rPr>
                <w:b w:val="0"/>
              </w:rPr>
              <w:t>Green</w:t>
            </w:r>
          </w:p>
        </w:tc>
        <w:tc>
          <w:tcPr>
            <w:tcW w:type="dxa" w:w="5184"/>
            <w:vAlign w:val="center"/>
          </w:tcPr>
          <w:p>
            <w:r/>
            <w:r>
              <w:rPr>
                <w:b w:val="0"/>
              </w:rPr>
              <w:t>No explicit blocked tickets detected.</w:t>
            </w:r>
          </w:p>
        </w:tc>
      </w:tr>
      <w:tr>
        <w:tc>
          <w:tcPr>
            <w:tcW w:type="dxa" w:w="3024"/>
            <w:vAlign w:val="center"/>
          </w:tcPr>
          <w:p>
            <w:r/>
            <w:r>
              <w:rPr>
                <w:b w:val="0"/>
              </w:rPr>
              <w:t>Reopened ticket count</w:t>
            </w:r>
          </w:p>
        </w:tc>
        <w:tc>
          <w:tcPr>
            <w:tcW w:type="dxa" w:w="2880"/>
            <w:vAlign w:val="center"/>
          </w:tcPr>
          <w:p>
            <w:r/>
            <w:r>
              <w:rPr>
                <w:b w:val="0"/>
              </w:rPr>
              <w:t>0</w:t>
            </w:r>
          </w:p>
        </w:tc>
        <w:tc>
          <w:tcPr>
            <w:tcW w:type="dxa" w:w="1296"/>
            <w:vAlign w:val="center"/>
          </w:tcPr>
          <w:p>
            <w:r/>
            <w:r>
              <w:rPr>
                <w:b w:val="0"/>
              </w:rPr>
              <w:t>Green</w:t>
            </w:r>
          </w:p>
        </w:tc>
        <w:tc>
          <w:tcPr>
            <w:tcW w:type="dxa" w:w="5184"/>
            <w:vAlign w:val="center"/>
          </w:tcPr>
          <w:p>
            <w:r/>
            <w:r>
              <w:rPr>
                <w:b w:val="0"/>
              </w:rPr>
              <w:t>No Done-to-not-Done transitions detected in the last 7 days.</w:t>
            </w:r>
          </w:p>
        </w:tc>
      </w:tr>
      <w:tr>
        <w:tc>
          <w:tcPr>
            <w:tcW w:type="dxa" w:w="3024"/>
            <w:vAlign w:val="center"/>
          </w:tcPr>
          <w:p>
            <w:r/>
            <w:r>
              <w:rPr>
                <w:b w:val="0"/>
              </w:rPr>
              <w:t>Overdue open items</w:t>
            </w:r>
          </w:p>
        </w:tc>
        <w:tc>
          <w:tcPr>
            <w:tcW w:type="dxa" w:w="2880"/>
            <w:vAlign w:val="center"/>
          </w:tcPr>
          <w:p>
            <w:r/>
            <w:r>
              <w:rPr>
                <w:b w:val="0"/>
              </w:rPr>
              <w:t>12</w:t>
            </w:r>
          </w:p>
        </w:tc>
        <w:tc>
          <w:tcPr>
            <w:tcW w:type="dxa" w:w="1296"/>
            <w:vAlign w:val="center"/>
          </w:tcPr>
          <w:p>
            <w:r/>
            <w:r>
              <w:rPr>
                <w:b w:val="0"/>
              </w:rPr>
              <w:t>Red</w:t>
            </w:r>
          </w:p>
        </w:tc>
        <w:tc>
          <w:tcPr>
            <w:tcW w:type="dxa" w:w="5184"/>
            <w:vAlign w:val="center"/>
          </w:tcPr>
          <w:p>
            <w:r/>
            <w:r>
              <w:rPr>
                <w:b w:val="0"/>
              </w:rPr>
              <w:t>Open issues with due date before June 23, 2026.</w:t>
            </w:r>
          </w:p>
        </w:tc>
      </w:tr>
      <w:tr>
        <w:tc>
          <w:tcPr>
            <w:tcW w:type="dxa" w:w="3024"/>
            <w:vAlign w:val="center"/>
          </w:tcPr>
          <w:p>
            <w:r/>
            <w:r>
              <w:rPr>
                <w:b w:val="0"/>
              </w:rPr>
              <w:t>Unassigned open items</w:t>
            </w:r>
          </w:p>
        </w:tc>
        <w:tc>
          <w:tcPr>
            <w:tcW w:type="dxa" w:w="2880"/>
            <w:vAlign w:val="center"/>
          </w:tcPr>
          <w:p>
            <w:r/>
            <w:r>
              <w:rPr>
                <w:b w:val="0"/>
              </w:rPr>
              <w:t>44</w:t>
            </w:r>
          </w:p>
        </w:tc>
        <w:tc>
          <w:tcPr>
            <w:tcW w:type="dxa" w:w="1296"/>
            <w:vAlign w:val="center"/>
          </w:tcPr>
          <w:p>
            <w:r/>
            <w:r>
              <w:rPr>
                <w:b w:val="0"/>
              </w:rPr>
              <w:t>Red</w:t>
            </w:r>
          </w:p>
        </w:tc>
        <w:tc>
          <w:tcPr>
            <w:tcW w:type="dxa" w:w="5184"/>
            <w:vAlign w:val="center"/>
          </w:tcPr>
          <w:p>
            <w:r/>
            <w:r>
              <w:rPr>
                <w:b w:val="0"/>
              </w:rPr>
              <w:t>Ownership gap requiring triage.</w:t>
            </w:r>
          </w:p>
        </w:tc>
      </w:tr>
      <w:tr>
        <w:tc>
          <w:tcPr>
            <w:tcW w:type="dxa" w:w="3024"/>
            <w:vAlign w:val="center"/>
          </w:tcPr>
          <w:p>
            <w:r/>
            <w:r>
              <w:rPr>
                <w:b w:val="0"/>
              </w:rPr>
              <w:t>Story points completed vs planned</w:t>
            </w:r>
          </w:p>
        </w:tc>
        <w:tc>
          <w:tcPr>
            <w:tcW w:type="dxa" w:w="2880"/>
            <w:vAlign w:val="center"/>
          </w:tcPr>
          <w:p>
            <w:r/>
            <w:r>
              <w:rPr>
                <w:b w:val="0"/>
              </w:rPr>
              <w:t>Not available</w:t>
            </w:r>
          </w:p>
        </w:tc>
        <w:tc>
          <w:tcPr>
            <w:tcW w:type="dxa" w:w="1296"/>
            <w:vAlign w:val="center"/>
          </w:tcPr>
          <w:p>
            <w:r/>
            <w:r>
              <w:rPr>
                <w:b w:val="0"/>
              </w:rPr>
              <w:t>Red</w:t>
            </w:r>
          </w:p>
        </w:tc>
        <w:tc>
          <w:tcPr>
            <w:tcW w:type="dxa" w:w="5184"/>
            <w:vAlign w:val="center"/>
          </w:tcPr>
          <w:p>
            <w:r/>
            <w:r>
              <w:rPr>
                <w:b w:val="0"/>
              </w:rPr>
              <w:t>Planning metric not exposed.</w:t>
            </w:r>
          </w:p>
        </w:tc>
      </w:tr>
      <w:tr>
        <w:tc>
          <w:tcPr>
            <w:tcW w:type="dxa" w:w="3024"/>
            <w:vAlign w:val="center"/>
          </w:tcPr>
          <w:p>
            <w:r/>
            <w:r>
              <w:rPr>
                <w:b w:val="0"/>
              </w:rPr>
              <w:t>Sprint velocity</w:t>
            </w:r>
          </w:p>
        </w:tc>
        <w:tc>
          <w:tcPr>
            <w:tcW w:type="dxa" w:w="2880"/>
            <w:vAlign w:val="center"/>
          </w:tcPr>
          <w:p>
            <w:r/>
            <w:r>
              <w:rPr>
                <w:b w:val="0"/>
              </w:rPr>
              <w:t>Not available</w:t>
            </w:r>
          </w:p>
        </w:tc>
        <w:tc>
          <w:tcPr>
            <w:tcW w:type="dxa" w:w="1296"/>
            <w:vAlign w:val="center"/>
          </w:tcPr>
          <w:p>
            <w:r/>
            <w:r>
              <w:rPr>
                <w:b w:val="0"/>
              </w:rPr>
              <w:t>Red</w:t>
            </w:r>
          </w:p>
        </w:tc>
        <w:tc>
          <w:tcPr>
            <w:tcW w:type="dxa" w:w="5184"/>
            <w:vAlign w:val="center"/>
          </w:tcPr>
          <w:p>
            <w:r/>
            <w:r>
              <w:rPr>
                <w:b w:val="0"/>
              </w:rPr>
              <w:t>Velocity not exposed.</w:t>
            </w:r>
          </w:p>
        </w:tc>
      </w:tr>
      <w:tr>
        <w:tc>
          <w:tcPr>
            <w:tcW w:type="dxa" w:w="3024"/>
            <w:vAlign w:val="center"/>
          </w:tcPr>
          <w:p>
            <w:r/>
            <w:r>
              <w:rPr>
                <w:b w:val="0"/>
              </w:rPr>
              <w:t>Cycle time</w:t>
            </w:r>
          </w:p>
        </w:tc>
        <w:tc>
          <w:tcPr>
            <w:tcW w:type="dxa" w:w="2880"/>
            <w:vAlign w:val="center"/>
          </w:tcPr>
          <w:p>
            <w:r/>
            <w:r>
              <w:rPr>
                <w:b w:val="0"/>
              </w:rPr>
              <w:t>Not available</w:t>
            </w:r>
          </w:p>
        </w:tc>
        <w:tc>
          <w:tcPr>
            <w:tcW w:type="dxa" w:w="1296"/>
            <w:vAlign w:val="center"/>
          </w:tcPr>
          <w:p>
            <w:r/>
            <w:r>
              <w:rPr>
                <w:b w:val="0"/>
              </w:rPr>
              <w:t>Amber</w:t>
            </w:r>
          </w:p>
        </w:tc>
        <w:tc>
          <w:tcPr>
            <w:tcW w:type="dxa" w:w="5184"/>
            <w:vAlign w:val="center"/>
          </w:tcPr>
          <w:p>
            <w:r/>
            <w:r>
              <w:rPr>
                <w:b w:val="0"/>
              </w:rPr>
              <w:t>Workflow transition history not queried/available in issue fields.</w:t>
            </w:r>
          </w:p>
        </w:tc>
      </w:tr>
      <w:tr>
        <w:tc>
          <w:tcPr>
            <w:tcW w:type="dxa" w:w="3024"/>
            <w:vAlign w:val="center"/>
          </w:tcPr>
          <w:p>
            <w:r/>
            <w:r>
              <w:rPr>
                <w:b w:val="0"/>
              </w:rPr>
              <w:t>Lead time</w:t>
            </w:r>
          </w:p>
        </w:tc>
        <w:tc>
          <w:tcPr>
            <w:tcW w:type="dxa" w:w="2880"/>
            <w:vAlign w:val="center"/>
          </w:tcPr>
          <w:p>
            <w:r/>
            <w:r>
              <w:rPr>
                <w:b w:val="0"/>
              </w:rPr>
              <w:t>CDA-116 lead time: approx. 12 days from creation (2026-06-10) to resolution (2026-06-22).</w:t>
            </w:r>
          </w:p>
        </w:tc>
        <w:tc>
          <w:tcPr>
            <w:tcW w:type="dxa" w:w="1296"/>
            <w:vAlign w:val="center"/>
          </w:tcPr>
          <w:p>
            <w:r/>
            <w:r>
              <w:rPr>
                <w:b w:val="0"/>
              </w:rPr>
              <w:t>Amber</w:t>
            </w:r>
          </w:p>
        </w:tc>
        <w:tc>
          <w:tcPr>
            <w:tcW w:type="dxa" w:w="5184"/>
            <w:vAlign w:val="center"/>
          </w:tcPr>
          <w:p>
            <w:r/>
            <w:r>
              <w:rPr>
                <w:b w:val="0"/>
              </w:rPr>
              <w:t>Only one completed issue in the reporting window.</w:t>
            </w:r>
          </w:p>
        </w:tc>
      </w:tr>
      <w:tr>
        <w:tc>
          <w:tcPr>
            <w:tcW w:type="dxa" w:w="3024"/>
            <w:vAlign w:val="center"/>
          </w:tcPr>
          <w:p>
            <w:r/>
            <w:r>
              <w:rPr>
                <w:b w:val="0"/>
              </w:rPr>
              <w:t>Defect leakage rate</w:t>
            </w:r>
          </w:p>
        </w:tc>
        <w:tc>
          <w:tcPr>
            <w:tcW w:type="dxa" w:w="2880"/>
            <w:vAlign w:val="center"/>
          </w:tcPr>
          <w:p>
            <w:r/>
            <w:r>
              <w:rPr>
                <w:b w:val="0"/>
              </w:rPr>
              <w:t>Not available</w:t>
            </w:r>
          </w:p>
        </w:tc>
        <w:tc>
          <w:tcPr>
            <w:tcW w:type="dxa" w:w="1296"/>
            <w:vAlign w:val="center"/>
          </w:tcPr>
          <w:p>
            <w:r/>
            <w:r>
              <w:rPr>
                <w:b w:val="0"/>
              </w:rPr>
              <w:t>Red</w:t>
            </w:r>
          </w:p>
        </w:tc>
        <w:tc>
          <w:tcPr>
            <w:tcW w:type="dxa" w:w="5184"/>
            <w:vAlign w:val="center"/>
          </w:tcPr>
          <w:p>
            <w:r/>
            <w:r>
              <w:rPr>
                <w:b w:val="0"/>
              </w:rPr>
              <w:t>Requires production/test escape tagging or release linkage.</w:t>
            </w:r>
          </w:p>
        </w:tc>
      </w:tr>
    </w:tbl>
    <w:p/>
    <w:p>
      <w:pPr>
        <w:pStyle w:val="Heading1"/>
      </w:pPr>
      <w:r>
        <w:t>7. Team Performance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736"/>
            <w:vAlign w:val="center"/>
            <w:shd w:fill="D9EAF7"/>
          </w:tcPr>
          <w:p>
            <w:r/>
            <w:r>
              <w:rPr>
                <w:b/>
              </w:rPr>
              <w:t>Assignee</w:t>
            </w:r>
          </w:p>
        </w:tc>
        <w:tc>
          <w:tcPr>
            <w:tcW w:type="dxa" w:w="1584"/>
            <w:vAlign w:val="center"/>
            <w:shd w:fill="D9EAF7"/>
          </w:tcPr>
          <w:p>
            <w:r/>
            <w:r>
              <w:rPr>
                <w:b/>
              </w:rPr>
              <w:t>Open workload</w:t>
            </w:r>
          </w:p>
        </w:tc>
        <w:tc>
          <w:tcPr>
            <w:tcW w:type="dxa" w:w="2304"/>
            <w:vAlign w:val="center"/>
            <w:shd w:fill="D9EAF7"/>
          </w:tcPr>
          <w:p>
            <w:r/>
            <w:r>
              <w:rPr>
                <w:b/>
              </w:rPr>
              <w:t>Capacity utilization signal</w:t>
            </w:r>
          </w:p>
        </w:tc>
        <w:tc>
          <w:tcPr>
            <w:tcW w:type="dxa" w:w="5760"/>
            <w:vAlign w:val="center"/>
            <w:shd w:fill="D9EAF7"/>
          </w:tcPr>
          <w:p>
            <w:r/>
            <w:r>
              <w:rPr>
                <w:b/>
              </w:rPr>
              <w:t>Risk / interpretation</w:t>
            </w:r>
          </w:p>
        </w:tc>
      </w:tr>
      <w:tr>
        <w:tc>
          <w:tcPr>
            <w:tcW w:type="dxa" w:w="2736"/>
            <w:vAlign w:val="center"/>
          </w:tcPr>
          <w:p>
            <w:r/>
            <w:r>
              <w:rPr>
                <w:b w:val="0"/>
              </w:rPr>
              <w:t>Unassigned</w:t>
            </w:r>
          </w:p>
        </w:tc>
        <w:tc>
          <w:tcPr>
            <w:tcW w:type="dxa" w:w="1584"/>
            <w:vAlign w:val="center"/>
          </w:tcPr>
          <w:p>
            <w:r/>
            <w:r>
              <w:rPr>
                <w:b w:val="0"/>
              </w:rPr>
              <w:t>44</w:t>
            </w:r>
          </w:p>
        </w:tc>
        <w:tc>
          <w:tcPr>
            <w:tcW w:type="dxa" w:w="2304"/>
            <w:vAlign w:val="center"/>
          </w:tcPr>
          <w:p>
            <w:r/>
            <w:r>
              <w:rPr>
                <w:b w:val="0"/>
              </w:rPr>
              <w:t>Red</w:t>
            </w:r>
          </w:p>
        </w:tc>
        <w:tc>
          <w:tcPr>
            <w:tcW w:type="dxa" w:w="5760"/>
            <w:vAlign w:val="center"/>
          </w:tcPr>
          <w:p>
            <w:r/>
            <w:r>
              <w:rPr>
                <w:b w:val="0"/>
              </w:rPr>
              <w:t>Largest ownership bucket; must be assigned before reliable execution tracking.</w:t>
            </w:r>
          </w:p>
        </w:tc>
      </w:tr>
      <w:tr>
        <w:tc>
          <w:tcPr>
            <w:tcW w:type="dxa" w:w="2736"/>
            <w:vAlign w:val="center"/>
          </w:tcPr>
          <w:p>
            <w:r/>
            <w:r>
              <w:rPr>
                <w:b w:val="0"/>
              </w:rPr>
              <w:t>Duyet Vo</w:t>
            </w:r>
          </w:p>
        </w:tc>
        <w:tc>
          <w:tcPr>
            <w:tcW w:type="dxa" w:w="1584"/>
            <w:vAlign w:val="center"/>
          </w:tcPr>
          <w:p>
            <w:r/>
            <w:r>
              <w:rPr>
                <w:b w:val="0"/>
              </w:rPr>
              <w:t>40</w:t>
            </w:r>
          </w:p>
        </w:tc>
        <w:tc>
          <w:tcPr>
            <w:tcW w:type="dxa" w:w="2304"/>
            <w:vAlign w:val="center"/>
          </w:tcPr>
          <w:p>
            <w:r/>
            <w:r>
              <w:rPr>
                <w:b w:val="0"/>
              </w:rPr>
              <w:t>Red</w:t>
            </w:r>
          </w:p>
        </w:tc>
        <w:tc>
          <w:tcPr>
            <w:tcW w:type="dxa" w:w="5760"/>
            <w:vAlign w:val="center"/>
          </w:tcPr>
          <w:p>
            <w:r/>
            <w:r>
              <w:rPr>
                <w:b w:val="0"/>
              </w:rPr>
              <w:t>Highest named workload; likely overloaded without explicit capacity plan.</w:t>
            </w:r>
          </w:p>
        </w:tc>
      </w:tr>
      <w:tr>
        <w:tc>
          <w:tcPr>
            <w:tcW w:type="dxa" w:w="2736"/>
            <w:vAlign w:val="center"/>
          </w:tcPr>
          <w:p>
            <w:r/>
            <w:r>
              <w:rPr>
                <w:b w:val="0"/>
              </w:rPr>
              <w:t>Sambangi Sankararao</w:t>
            </w:r>
          </w:p>
        </w:tc>
        <w:tc>
          <w:tcPr>
            <w:tcW w:type="dxa" w:w="1584"/>
            <w:vAlign w:val="center"/>
          </w:tcPr>
          <w:p>
            <w:r/>
            <w:r>
              <w:rPr>
                <w:b w:val="0"/>
              </w:rPr>
              <w:t>22</w:t>
            </w:r>
          </w:p>
        </w:tc>
        <w:tc>
          <w:tcPr>
            <w:tcW w:type="dxa" w:w="2304"/>
            <w:vAlign w:val="center"/>
          </w:tcPr>
          <w:p>
            <w:r/>
            <w:r>
              <w:rPr>
                <w:b w:val="0"/>
              </w:rPr>
              <w:t>Amber</w:t>
            </w:r>
          </w:p>
        </w:tc>
        <w:tc>
          <w:tcPr>
            <w:tcW w:type="dxa" w:w="5760"/>
            <w:vAlign w:val="center"/>
          </w:tcPr>
          <w:p>
            <w:r/>
            <w:r>
              <w:rPr>
                <w:b w:val="0"/>
              </w:rPr>
              <w:t>Large active backlog; includes Highest priority and overdue items.</w:t>
            </w:r>
          </w:p>
        </w:tc>
      </w:tr>
      <w:tr>
        <w:tc>
          <w:tcPr>
            <w:tcW w:type="dxa" w:w="2736"/>
            <w:vAlign w:val="center"/>
          </w:tcPr>
          <w:p>
            <w:r/>
            <w:r>
              <w:rPr>
                <w:b w:val="0"/>
              </w:rPr>
              <w:t>Nagesh Prajapati</w:t>
            </w:r>
          </w:p>
        </w:tc>
        <w:tc>
          <w:tcPr>
            <w:tcW w:type="dxa" w:w="1584"/>
            <w:vAlign w:val="center"/>
          </w:tcPr>
          <w:p>
            <w:r/>
            <w:r>
              <w:rPr>
                <w:b w:val="0"/>
              </w:rPr>
              <w:t>17</w:t>
            </w:r>
          </w:p>
        </w:tc>
        <w:tc>
          <w:tcPr>
            <w:tcW w:type="dxa" w:w="2304"/>
            <w:vAlign w:val="center"/>
          </w:tcPr>
          <w:p>
            <w:r/>
            <w:r>
              <w:rPr>
                <w:b w:val="0"/>
              </w:rPr>
              <w:t>Amber</w:t>
            </w:r>
          </w:p>
        </w:tc>
        <w:tc>
          <w:tcPr>
            <w:tcW w:type="dxa" w:w="5760"/>
            <w:vAlign w:val="center"/>
          </w:tcPr>
          <w:p>
            <w:r/>
            <w:r>
              <w:rPr>
                <w:b w:val="0"/>
              </w:rPr>
              <w:t>Completed CDA-116; still owns active defect and validation work.</w:t>
            </w:r>
          </w:p>
        </w:tc>
      </w:tr>
      <w:tr>
        <w:tc>
          <w:tcPr>
            <w:tcW w:type="dxa" w:w="2736"/>
            <w:vAlign w:val="center"/>
          </w:tcPr>
          <w:p>
            <w:r/>
            <w:r>
              <w:rPr>
                <w:b w:val="0"/>
              </w:rPr>
              <w:t>michael</w:t>
            </w:r>
          </w:p>
        </w:tc>
        <w:tc>
          <w:tcPr>
            <w:tcW w:type="dxa" w:w="1584"/>
            <w:vAlign w:val="center"/>
          </w:tcPr>
          <w:p>
            <w:r/>
            <w:r>
              <w:rPr>
                <w:b w:val="0"/>
              </w:rPr>
              <w:t>17</w:t>
            </w:r>
          </w:p>
        </w:tc>
        <w:tc>
          <w:tcPr>
            <w:tcW w:type="dxa" w:w="2304"/>
            <w:vAlign w:val="center"/>
          </w:tcPr>
          <w:p>
            <w:r/>
            <w:r>
              <w:rPr>
                <w:b w:val="0"/>
              </w:rPr>
              <w:t>Amber</w:t>
            </w:r>
          </w:p>
        </w:tc>
        <w:tc>
          <w:tcPr>
            <w:tcW w:type="dxa" w:w="5760"/>
            <w:vAlign w:val="center"/>
          </w:tcPr>
          <w:p>
            <w:r/>
            <w:r>
              <w:rPr>
                <w:b w:val="0"/>
              </w:rPr>
              <w:t>Multiple open technical defects; monitor for aging items.</w:t>
            </w:r>
          </w:p>
        </w:tc>
      </w:tr>
      <w:tr>
        <w:tc>
          <w:tcPr>
            <w:tcW w:type="dxa" w:w="2736"/>
            <w:vAlign w:val="center"/>
          </w:tcPr>
          <w:p>
            <w:r/>
            <w:r>
              <w:rPr>
                <w:b w:val="0"/>
              </w:rPr>
              <w:t>Khang Le</w:t>
            </w:r>
          </w:p>
        </w:tc>
        <w:tc>
          <w:tcPr>
            <w:tcW w:type="dxa" w:w="1584"/>
            <w:vAlign w:val="center"/>
          </w:tcPr>
          <w:p>
            <w:r/>
            <w:r>
              <w:rPr>
                <w:b w:val="0"/>
              </w:rPr>
              <w:t>13</w:t>
            </w:r>
          </w:p>
        </w:tc>
        <w:tc>
          <w:tcPr>
            <w:tcW w:type="dxa" w:w="2304"/>
            <w:vAlign w:val="center"/>
          </w:tcPr>
          <w:p>
            <w:r/>
            <w:r>
              <w:rPr>
                <w:b w:val="0"/>
              </w:rPr>
              <w:t>Amber</w:t>
            </w:r>
          </w:p>
        </w:tc>
        <w:tc>
          <w:tcPr>
            <w:tcW w:type="dxa" w:w="5760"/>
            <w:vAlign w:val="center"/>
          </w:tcPr>
          <w:p>
            <w:r/>
            <w:r>
              <w:rPr>
                <w:b w:val="0"/>
              </w:rPr>
              <w:t>Moderate backlog; includes CANopen/RTC and configuration issues.</w:t>
            </w:r>
          </w:p>
        </w:tc>
      </w:tr>
    </w:tbl>
    <w:p/>
    <w:p>
      <w:r>
        <w:t>Top contributor in the reporting window: Nagesh Prajapati (1 completed issue). Capacity utilization is inferred from open Jira workload only; formal capacity data was not available.</w:t>
      </w:r>
    </w:p>
    <w:p>
      <w:pPr>
        <w:pStyle w:val="Heading1"/>
      </w:pPr>
      <w:r>
        <w:t>8. Upcoming Milestones</w:t>
      </w:r>
    </w:p>
    <w:tbl>
      <w:tblPr>
        <w:tblStyle w:val="TableGrid"/>
        <w:tblW w:type="auto" w:w="0"/>
        <w:jc w:val="center"/>
        <w:tblLook w:firstColumn="1" w:firstRow="1" w:lastColumn="0" w:lastRow="0" w:noHBand="0" w:noVBand="1" w:val="04A0"/>
      </w:tblPr>
      <w:tblGrid>
        <w:gridCol w:w="3552"/>
        <w:gridCol w:w="3552"/>
        <w:gridCol w:w="3552"/>
      </w:tblGrid>
      <w:tr>
        <w:tc>
          <w:tcPr>
            <w:tcW w:type="dxa" w:w="2016"/>
            <w:vAlign w:val="center"/>
            <w:shd w:fill="D9EAF7"/>
          </w:tcPr>
          <w:p>
            <w:r/>
            <w:r>
              <w:rPr>
                <w:b/>
              </w:rPr>
              <w:t>Window</w:t>
            </w:r>
          </w:p>
        </w:tc>
        <w:tc>
          <w:tcPr>
            <w:tcW w:type="dxa" w:w="6480"/>
            <w:vAlign w:val="center"/>
            <w:shd w:fill="D9EAF7"/>
          </w:tcPr>
          <w:p>
            <w:r/>
            <w:r>
              <w:rPr>
                <w:b/>
              </w:rPr>
              <w:t>Deliverables identified</w:t>
            </w:r>
          </w:p>
        </w:tc>
        <w:tc>
          <w:tcPr>
            <w:tcW w:type="dxa" w:w="4320"/>
            <w:vAlign w:val="center"/>
            <w:shd w:fill="D9EAF7"/>
          </w:tcPr>
          <w:p>
            <w:r/>
            <w:r>
              <w:rPr>
                <w:b/>
              </w:rPr>
              <w:t>Risks to achievement</w:t>
            </w:r>
          </w:p>
        </w:tc>
      </w:tr>
      <w:tr>
        <w:tc>
          <w:tcPr>
            <w:tcW w:type="dxa" w:w="2016"/>
            <w:vAlign w:val="center"/>
          </w:tcPr>
          <w:p>
            <w:r/>
            <w:r>
              <w:rPr>
                <w:b w:val="0"/>
              </w:rPr>
              <w:t>Next 7 days</w:t>
            </w:r>
          </w:p>
        </w:tc>
        <w:tc>
          <w:tcPr>
            <w:tcW w:type="dxa" w:w="6480"/>
            <w:vAlign w:val="center"/>
          </w:tcPr>
          <w:p>
            <w:r/>
            <w:r>
              <w:rPr>
                <w:b w:val="0"/>
              </w:rPr>
              <w:t>No future-dated open deliverables found in Jira due-date fields.</w:t>
            </w:r>
          </w:p>
        </w:tc>
        <w:tc>
          <w:tcPr>
            <w:tcW w:type="dxa" w:w="4320"/>
            <w:vAlign w:val="center"/>
          </w:tcPr>
          <w:p>
            <w:r/>
            <w:r>
              <w:rPr>
                <w:b w:val="0"/>
              </w:rPr>
              <w:t>Due-date hygiene gap; many active issues have no target date.</w:t>
            </w:r>
          </w:p>
        </w:tc>
      </w:tr>
      <w:tr>
        <w:tc>
          <w:tcPr>
            <w:tcW w:type="dxa" w:w="2016"/>
            <w:vAlign w:val="center"/>
          </w:tcPr>
          <w:p>
            <w:r/>
            <w:r>
              <w:rPr>
                <w:b w:val="0"/>
              </w:rPr>
              <w:t>Next 14 days</w:t>
            </w:r>
          </w:p>
        </w:tc>
        <w:tc>
          <w:tcPr>
            <w:tcW w:type="dxa" w:w="6480"/>
            <w:vAlign w:val="center"/>
          </w:tcPr>
          <w:p>
            <w:r/>
            <w:r>
              <w:rPr>
                <w:b w:val="0"/>
              </w:rPr>
              <w:t>No future-dated open deliverables found in Jira due-date fields.</w:t>
            </w:r>
          </w:p>
        </w:tc>
        <w:tc>
          <w:tcPr>
            <w:tcW w:type="dxa" w:w="4320"/>
            <w:vAlign w:val="center"/>
          </w:tcPr>
          <w:p>
            <w:r/>
            <w:r>
              <w:rPr>
                <w:b w:val="0"/>
              </w:rPr>
              <w:t>Forecasting cannot be trusted without dates/story points.</w:t>
            </w:r>
          </w:p>
        </w:tc>
      </w:tr>
      <w:tr>
        <w:tc>
          <w:tcPr>
            <w:tcW w:type="dxa" w:w="2016"/>
            <w:vAlign w:val="center"/>
          </w:tcPr>
          <w:p>
            <w:r/>
            <w:r>
              <w:rPr>
                <w:b w:val="0"/>
              </w:rPr>
              <w:t>Next 30 days</w:t>
            </w:r>
          </w:p>
        </w:tc>
        <w:tc>
          <w:tcPr>
            <w:tcW w:type="dxa" w:w="6480"/>
            <w:vAlign w:val="center"/>
          </w:tcPr>
          <w:p>
            <w:r/>
            <w:r>
              <w:rPr>
                <w:b w:val="0"/>
              </w:rPr>
              <w:t>No future-dated open deliverables found in Jira due-date fields.</w:t>
            </w:r>
          </w:p>
        </w:tc>
        <w:tc>
          <w:tcPr>
            <w:tcW w:type="dxa" w:w="4320"/>
            <w:vAlign w:val="center"/>
          </w:tcPr>
          <w:p>
            <w:r/>
            <w:r>
              <w:rPr>
                <w:b w:val="0"/>
              </w:rPr>
              <w:t>Management should require due dates for committed deliverables.</w:t>
            </w:r>
          </w:p>
        </w:tc>
      </w:tr>
      <w:tr>
        <w:tc>
          <w:tcPr>
            <w:tcW w:type="dxa" w:w="2016"/>
            <w:vAlign w:val="center"/>
          </w:tcPr>
          <w:p>
            <w:r/>
            <w:r>
              <w:rPr>
                <w:b w:val="0"/>
              </w:rPr>
              <w:t>Overdue</w:t>
            </w:r>
          </w:p>
        </w:tc>
        <w:tc>
          <w:tcPr>
            <w:tcW w:type="dxa" w:w="6480"/>
            <w:vAlign w:val="center"/>
          </w:tcPr>
          <w:p>
            <w:r/>
            <w:r>
              <w:rPr>
                <w:b w:val="0"/>
              </w:rPr>
              <w:t>12 open dated items, including MBA-1, MBA-2, CDA-77, CDA-86, CDA-75, CDA-96, CDA-97, CDA-100, CDA-103, CDA-110, CDA-115, CDA-102.</w:t>
            </w:r>
          </w:p>
        </w:tc>
        <w:tc>
          <w:tcPr>
            <w:tcW w:type="dxa" w:w="4320"/>
            <w:vAlign w:val="center"/>
          </w:tcPr>
          <w:p>
            <w:r/>
            <w:r>
              <w:rPr>
                <w:b w:val="0"/>
              </w:rPr>
              <w:t>Immediate re-baseline or escalation required.</w:t>
            </w:r>
          </w:p>
        </w:tc>
      </w:tr>
    </w:tbl>
    <w:p/>
    <w:p>
      <w:pPr>
        <w:pStyle w:val="Heading1"/>
      </w:pPr>
      <w:r>
        <w:t>9. Actions Required</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440"/>
            <w:vAlign w:val="center"/>
            <w:shd w:fill="D9EAF7"/>
          </w:tcPr>
          <w:p>
            <w:r/>
            <w:r>
              <w:rPr>
                <w:b/>
              </w:rPr>
              <w:t>Priority</w:t>
            </w:r>
          </w:p>
        </w:tc>
        <w:tc>
          <w:tcPr>
            <w:tcW w:type="dxa" w:w="6048"/>
            <w:vAlign w:val="center"/>
            <w:shd w:fill="D9EAF7"/>
          </w:tcPr>
          <w:p>
            <w:r/>
            <w:r>
              <w:rPr>
                <w:b/>
              </w:rPr>
              <w:t>Action</w:t>
            </w:r>
          </w:p>
        </w:tc>
        <w:tc>
          <w:tcPr>
            <w:tcW w:type="dxa" w:w="2592"/>
            <w:vAlign w:val="center"/>
            <w:shd w:fill="D9EAF7"/>
          </w:tcPr>
          <w:p>
            <w:r/>
            <w:r>
              <w:rPr>
                <w:b/>
              </w:rPr>
              <w:t>Owner</w:t>
            </w:r>
          </w:p>
        </w:tc>
        <w:tc>
          <w:tcPr>
            <w:tcW w:type="dxa" w:w="2448"/>
            <w:vAlign w:val="center"/>
            <w:shd w:fill="D9EAF7"/>
          </w:tcPr>
          <w:p>
            <w:r/>
            <w:r>
              <w:rPr>
                <w:b/>
              </w:rPr>
              <w:t>Due / urgency</w:t>
            </w:r>
          </w:p>
        </w:tc>
      </w:tr>
      <w:tr>
        <w:tc>
          <w:tcPr>
            <w:tcW w:type="dxa" w:w="1440"/>
            <w:vAlign w:val="center"/>
          </w:tcPr>
          <w:p>
            <w:r/>
            <w:r>
              <w:rPr>
                <w:b w:val="0"/>
              </w:rPr>
              <w:t>Critical</w:t>
            </w:r>
          </w:p>
        </w:tc>
        <w:tc>
          <w:tcPr>
            <w:tcW w:type="dxa" w:w="6048"/>
            <w:vAlign w:val="center"/>
          </w:tcPr>
          <w:p>
            <w:r/>
            <w:r>
              <w:rPr>
                <w:b w:val="0"/>
              </w:rPr>
              <w:t>Assign owners for the 44 unassigned open issues, starting with CDA-119 and other active defects.</w:t>
            </w:r>
          </w:p>
        </w:tc>
        <w:tc>
          <w:tcPr>
            <w:tcW w:type="dxa" w:w="2592"/>
            <w:vAlign w:val="center"/>
          </w:tcPr>
          <w:p>
            <w:r/>
            <w:r>
              <w:rPr>
                <w:b w:val="0"/>
              </w:rPr>
              <w:t>Engineering / PM leads</w:t>
            </w:r>
          </w:p>
        </w:tc>
        <w:tc>
          <w:tcPr>
            <w:tcW w:type="dxa" w:w="2448"/>
            <w:vAlign w:val="center"/>
          </w:tcPr>
          <w:p>
            <w:r/>
            <w:r>
              <w:rPr>
                <w:b w:val="0"/>
              </w:rPr>
              <w:t>Today</w:t>
            </w:r>
          </w:p>
        </w:tc>
      </w:tr>
      <w:tr>
        <w:tc>
          <w:tcPr>
            <w:tcW w:type="dxa" w:w="1440"/>
            <w:vAlign w:val="center"/>
          </w:tcPr>
          <w:p>
            <w:r/>
            <w:r>
              <w:rPr>
                <w:b w:val="0"/>
              </w:rPr>
              <w:t>Critical</w:t>
            </w:r>
          </w:p>
        </w:tc>
        <w:tc>
          <w:tcPr>
            <w:tcW w:type="dxa" w:w="6048"/>
            <w:vAlign w:val="center"/>
          </w:tcPr>
          <w:p>
            <w:r/>
            <w:r>
              <w:rPr>
                <w:b w:val="0"/>
              </w:rPr>
              <w:t>Re-baseline or close the 12 overdue open issues; document delivery decisions for senior leadership.</w:t>
            </w:r>
          </w:p>
        </w:tc>
        <w:tc>
          <w:tcPr>
            <w:tcW w:type="dxa" w:w="2592"/>
            <w:vAlign w:val="center"/>
          </w:tcPr>
          <w:p>
            <w:r/>
            <w:r>
              <w:rPr>
                <w:b w:val="0"/>
              </w:rPr>
              <w:t>PMO / Product owners</w:t>
            </w:r>
          </w:p>
        </w:tc>
        <w:tc>
          <w:tcPr>
            <w:tcW w:type="dxa" w:w="2448"/>
            <w:vAlign w:val="center"/>
          </w:tcPr>
          <w:p>
            <w:r/>
            <w:r>
              <w:rPr>
                <w:b w:val="0"/>
              </w:rPr>
              <w:t>Today</w:t>
            </w:r>
          </w:p>
        </w:tc>
      </w:tr>
      <w:tr>
        <w:tc>
          <w:tcPr>
            <w:tcW w:type="dxa" w:w="1440"/>
            <w:vAlign w:val="center"/>
          </w:tcPr>
          <w:p>
            <w:r/>
            <w:r>
              <w:rPr>
                <w:b w:val="0"/>
              </w:rPr>
              <w:t>High</w:t>
            </w:r>
          </w:p>
        </w:tc>
        <w:tc>
          <w:tcPr>
            <w:tcW w:type="dxa" w:w="6048"/>
            <w:vAlign w:val="center"/>
          </w:tcPr>
          <w:p>
            <w:r/>
            <w:r>
              <w:rPr>
                <w:b w:val="0"/>
              </w:rPr>
              <w:t>Triage Highest priority open items CDA-96, CDA-65, and IROCU-7 for mitigation plans and target dates.</w:t>
            </w:r>
          </w:p>
        </w:tc>
        <w:tc>
          <w:tcPr>
            <w:tcW w:type="dxa" w:w="2592"/>
            <w:vAlign w:val="center"/>
          </w:tcPr>
          <w:p>
            <w:r/>
            <w:r>
              <w:rPr>
                <w:b w:val="0"/>
              </w:rPr>
              <w:t>Engineering leads</w:t>
            </w:r>
          </w:p>
        </w:tc>
        <w:tc>
          <w:tcPr>
            <w:tcW w:type="dxa" w:w="2448"/>
            <w:vAlign w:val="center"/>
          </w:tcPr>
          <w:p>
            <w:r/>
            <w:r>
              <w:rPr>
                <w:b w:val="0"/>
              </w:rPr>
              <w:t>Today</w:t>
            </w:r>
          </w:p>
        </w:tc>
      </w:tr>
      <w:tr>
        <w:tc>
          <w:tcPr>
            <w:tcW w:type="dxa" w:w="1440"/>
            <w:vAlign w:val="center"/>
          </w:tcPr>
          <w:p>
            <w:r/>
            <w:r>
              <w:rPr>
                <w:b w:val="0"/>
              </w:rPr>
              <w:t>High</w:t>
            </w:r>
          </w:p>
        </w:tc>
        <w:tc>
          <w:tcPr>
            <w:tcW w:type="dxa" w:w="6048"/>
            <w:vAlign w:val="center"/>
          </w:tcPr>
          <w:p>
            <w:r/>
            <w:r>
              <w:rPr>
                <w:b w:val="0"/>
              </w:rPr>
              <w:t>Enable/report sprint fields needed for MOR: sprint goal, story points, velocity, burndown, cycle time, and defect leakage.</w:t>
            </w:r>
          </w:p>
        </w:tc>
        <w:tc>
          <w:tcPr>
            <w:tcW w:type="dxa" w:w="2592"/>
            <w:vAlign w:val="center"/>
          </w:tcPr>
          <w:p>
            <w:r/>
            <w:r>
              <w:rPr>
                <w:b w:val="0"/>
              </w:rPr>
              <w:t>Jira admin / Scrum masters</w:t>
            </w:r>
          </w:p>
        </w:tc>
        <w:tc>
          <w:tcPr>
            <w:tcW w:type="dxa" w:w="2448"/>
            <w:vAlign w:val="center"/>
          </w:tcPr>
          <w:p>
            <w:r/>
            <w:r>
              <w:rPr>
                <w:b w:val="0"/>
              </w:rPr>
              <w:t>This reporting cycle</w:t>
            </w:r>
          </w:p>
        </w:tc>
      </w:tr>
      <w:tr>
        <w:tc>
          <w:tcPr>
            <w:tcW w:type="dxa" w:w="1440"/>
            <w:vAlign w:val="center"/>
          </w:tcPr>
          <w:p>
            <w:r/>
            <w:r>
              <w:rPr>
                <w:b w:val="0"/>
              </w:rPr>
              <w:t>Medium</w:t>
            </w:r>
          </w:p>
        </w:tc>
        <w:tc>
          <w:tcPr>
            <w:tcW w:type="dxa" w:w="6048"/>
            <w:vAlign w:val="center"/>
          </w:tcPr>
          <w:p>
            <w:r/>
            <w:r>
              <w:rPr>
                <w:b w:val="0"/>
              </w:rPr>
              <w:t>Clean up sample/training projects (MBA, LEARNJIRA) from executive portfolio scope or tag them explicitly as non-delivery.</w:t>
            </w:r>
          </w:p>
        </w:tc>
        <w:tc>
          <w:tcPr>
            <w:tcW w:type="dxa" w:w="2592"/>
            <w:vAlign w:val="center"/>
          </w:tcPr>
          <w:p>
            <w:r/>
            <w:r>
              <w:rPr>
                <w:b w:val="0"/>
              </w:rPr>
              <w:t>PMO / Jira admin</w:t>
            </w:r>
          </w:p>
        </w:tc>
        <w:tc>
          <w:tcPr>
            <w:tcW w:type="dxa" w:w="2448"/>
            <w:vAlign w:val="center"/>
          </w:tcPr>
          <w:p>
            <w:r/>
            <w:r>
              <w:rPr>
                <w:b w:val="0"/>
              </w:rPr>
              <w:t>Before next MOR</w:t>
            </w:r>
          </w:p>
        </w:tc>
      </w:tr>
    </w:tbl>
    <w:p/>
    <w:p>
      <w:pPr>
        <w:pStyle w:val="Heading1"/>
      </w:pPr>
      <w:r>
        <w:t>Appendix A - Data Notes</w:t>
      </w:r>
    </w:p>
    <w:p>
      <w:pPr>
        <w:pStyle w:val="ListBullet"/>
      </w:pPr>
      <w:r>
        <w:t>Counts are based on Jira issue search results for the scoped projects on June 23, 2026.</w:t>
      </w:r>
    </w:p>
    <w:p>
      <w:pPr>
        <w:pStyle w:val="ListBullet"/>
      </w:pPr>
      <w:r>
        <w:t>Open issue definition: statusCategory != Done.</w:t>
      </w:r>
    </w:p>
    <w:p>
      <w:pPr>
        <w:pStyle w:val="ListBullet"/>
      </w:pPr>
      <w:r>
        <w:t>Defect count definition: issue type Bug or Defect and statusCategory != Done.</w:t>
      </w:r>
    </w:p>
    <w:p>
      <w:pPr>
        <w:pStyle w:val="ListBullet"/>
      </w:pPr>
      <w:r>
        <w:t>Blocked definition: status = Blocked or labels in blocked/blocker/impediment.</w:t>
      </w:r>
    </w:p>
    <w:p>
      <w:pPr>
        <w:pStyle w:val="ListBullet"/>
      </w:pPr>
      <w:r>
        <w:t>Completed-this-week definition: statusCategory = Done and resolved &gt;= -7d.</w:t>
      </w:r>
    </w:p>
    <w:p>
      <w:pPr>
        <w:pStyle w:val="ListBullet"/>
      </w:pPr>
      <w:r>
        <w:t>Some sample/training issues remain in the visible project scope and may skew executive totals unless excluded by project policy.</w:t>
      </w:r>
    </w:p>
    <w:sectPr w:rsidR="00FC693F" w:rsidRPr="0006063C" w:rsidSect="00034616">
      <w:pgSz w:w="12240" w:h="15840"/>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