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Eyebrow"/>
      </w:pPr>
      <w:r>
        <w:t xml:space="preserve">EPAL  ·  Licence extraction system  ·  Operations handbook</w:t>
      </w:r>
    </w:p>
    <w:p>
      <w:pPr>
        <w:pStyle w:val="Title"/>
      </w:pPr>
      <w:r>
        <w:t xml:space="preserve">EPAL Licence System Handbook</w:t>
      </w:r>
    </w:p>
    <w:p>
      <w:pPr>
        <w:pStyle w:val="Lede"/>
      </w:pPr>
      <w:r>
        <w:t xml:space="preserve">Everything needed to put this system on a colleague’s laptop and keep it running. </w:t>
      </w:r>
      <w:r>
        <w:rPr>
          <w:b/>
        </w:rPr>
        <w:t xml:space="preserve">Written for people who do not write software.</w:t>
      </w:r>
      <w:r>
        <w:t xml:space="preserve"> You do not need to understand the code — you need to know which file to double-click, what a good result looks like, and what to do when it is not.</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1927"/>
        <w:gridCol w:w="1927"/>
        <w:gridCol w:w="1927"/>
        <w:gridCol w:w="1927"/>
        <w:gridCol w:w="1927"/>
      </w:tblGrid>
      <w:tr>
        <w:trPr>
          <w:tblHeader/>
        </w:trPr>
        <w:tc>
          <w:tcPr>
            <w:tcW w:w="1927" w:type="dxa"/>
            <w:shd w:val="clear" w:color="auto" w:fill="0E5C57"/>
          </w:tcPr>
          <w:p>
            <w:pPr>
              <w:pStyle w:val="TableHead"/>
            </w:pPr>
            <w:r>
              <w:t xml:space="preserve">700</w:t>
            </w:r>
          </w:p>
        </w:tc>
        <w:tc>
          <w:tcPr>
            <w:tcW w:w="1927" w:type="dxa"/>
            <w:shd w:val="clear" w:color="auto" w:fill="0E5C57"/>
          </w:tcPr>
          <w:p>
            <w:pPr>
              <w:pStyle w:val="TableHead"/>
            </w:pPr>
            <w:r>
              <w:t xml:space="preserve">1,023</w:t>
            </w:r>
          </w:p>
        </w:tc>
        <w:tc>
          <w:tcPr>
            <w:tcW w:w="1927" w:type="dxa"/>
            <w:shd w:val="clear" w:color="auto" w:fill="0E5C57"/>
          </w:tcPr>
          <w:p>
            <w:pPr>
              <w:pStyle w:val="TableHead"/>
            </w:pPr>
            <w:r>
              <w:t xml:space="preserve">400</w:t>
            </w:r>
          </w:p>
        </w:tc>
        <w:tc>
          <w:tcPr>
            <w:tcW w:w="1927" w:type="dxa"/>
            <w:shd w:val="clear" w:color="auto" w:fill="0E5C57"/>
          </w:tcPr>
          <w:p>
            <w:pPr>
              <w:pStyle w:val="TableHead"/>
            </w:pPr>
            <w:r>
              <w:t xml:space="preserve">0</w:t>
            </w:r>
          </w:p>
        </w:tc>
        <w:tc>
          <w:tcPr>
            <w:tcW w:w="1927" w:type="dxa"/>
            <w:shd w:val="clear" w:color="auto" w:fill="0E5C57"/>
          </w:tcPr>
          <w:p>
            <w:pPr>
              <w:pStyle w:val="TableHead"/>
            </w:pPr>
            <w:r>
              <w:t xml:space="preserve">~1 GB</w:t>
            </w:r>
          </w:p>
        </w:tc>
      </w:tr>
      <w:tr>
        <w:tc>
          <w:tcPr>
            <w:tcW w:w="1927" w:type="dxa"/>
          </w:tcPr>
          <w:p>
            <w:pPr>
              <w:pStyle w:val="TableCell"/>
            </w:pPr>
            <w:r>
              <w:t xml:space="preserve">Licences tracked</w:t>
            </w:r>
          </w:p>
        </w:tc>
        <w:tc>
          <w:tcPr>
            <w:tcW w:w="1927" w:type="dxa"/>
          </w:tcPr>
          <w:p>
            <w:pPr>
              <w:pStyle w:val="TableCell"/>
            </w:pPr>
            <w:r>
              <w:t xml:space="preserve">PDFs in the archive</w:t>
            </w:r>
          </w:p>
        </w:tc>
        <w:tc>
          <w:tcPr>
            <w:tcW w:w="1927" w:type="dxa"/>
          </w:tcPr>
          <w:p>
            <w:pPr>
              <w:pStyle w:val="TableCell"/>
            </w:pPr>
            <w:r>
              <w:t xml:space="preserve">Treatment plants</w:t>
            </w:r>
          </w:p>
        </w:tc>
        <w:tc>
          <w:tcPr>
            <w:tcW w:w="1927" w:type="dxa"/>
          </w:tcPr>
          <w:p>
            <w:pPr>
              <w:pStyle w:val="TableCell"/>
            </w:pPr>
            <w:r>
              <w:t xml:space="preserve">Software to install</w:t>
            </w:r>
          </w:p>
        </w:tc>
        <w:tc>
          <w:tcPr>
            <w:tcW w:w="1927" w:type="dxa"/>
          </w:tcPr>
          <w:p>
            <w:pPr>
              <w:pStyle w:val="TableCell"/>
            </w:pPr>
            <w:r>
              <w:t xml:space="preserve">Per laptop</w:t>
            </w:r>
          </w:p>
        </w:tc>
      </w:tr>
    </w:tbl>
    <w:p>
      <w:pPr>
        <w:pStyle w:val="Spacer"/>
      </w:pPr>
    </w:p>
    <w:p>
      <w:pPr>
        <w:pStyle w:val="Heading2"/>
      </w:pPr>
      <w:r>
        <w:t xml:space="preserve">Contents</w:t>
      </w:r>
    </w:p>
    <w:p>
      <w:pPr>
        <w:spacing w:after="40"/>
        <w:ind w:left="280"/>
      </w:pPr>
      <w:r>
        <w:rPr>
          <w:b/>
        </w:rPr>
        <w:t xml:space="preserve">01</w:t>
      </w:r>
      <w:r>
        <w:t xml:space="preserve">     What the system does</w:t>
      </w:r>
    </w:p>
    <w:p>
      <w:pPr>
        <w:spacing w:after="40"/>
        <w:ind w:left="280"/>
      </w:pPr>
      <w:r>
        <w:rPr>
          <w:b/>
        </w:rPr>
        <w:t xml:space="preserve">02</w:t>
      </w:r>
      <w:r>
        <w:t xml:space="preserve">     Before you set up a laptop</w:t>
      </w:r>
    </w:p>
    <w:p>
      <w:pPr>
        <w:spacing w:after="40"/>
        <w:ind w:left="280"/>
      </w:pPr>
      <w:r>
        <w:rPr>
          <w:b/>
        </w:rPr>
        <w:t xml:space="preserve">03</w:t>
      </w:r>
      <w:r>
        <w:t xml:space="preserve">     Setting up a laptop</w:t>
      </w:r>
    </w:p>
    <w:p>
      <w:pPr>
        <w:spacing w:after="40"/>
        <w:ind w:left="280"/>
      </w:pPr>
      <w:r>
        <w:rPr>
          <w:b/>
        </w:rPr>
        <w:t xml:space="preserve">04</w:t>
      </w:r>
      <w:r>
        <w:t xml:space="preserve">     Day-to-day: adding a licence</w:t>
      </w:r>
    </w:p>
    <w:p>
      <w:pPr>
        <w:spacing w:after="40"/>
        <w:ind w:left="280"/>
      </w:pPr>
      <w:r>
        <w:rPr>
          <w:b/>
        </w:rPr>
        <w:t xml:space="preserve">05</w:t>
      </w:r>
      <w:r>
        <w:t xml:space="preserve">     Using the dashboard</w:t>
      </w:r>
    </w:p>
    <w:p>
      <w:pPr>
        <w:spacing w:after="40"/>
        <w:ind w:left="280"/>
      </w:pPr>
      <w:r>
        <w:rPr>
          <w:b/>
        </w:rPr>
        <w:t xml:space="preserve">06</w:t>
      </w:r>
      <w:r>
        <w:t xml:space="preserve">     Who does what</w:t>
      </w:r>
    </w:p>
    <w:p>
      <w:pPr>
        <w:spacing w:after="40"/>
        <w:ind w:left="280"/>
      </w:pPr>
      <w:r>
        <w:rPr>
          <w:b/>
        </w:rPr>
        <w:t xml:space="preserve">07</w:t>
      </w:r>
      <w:r>
        <w:t xml:space="preserve">     Regular maintenance</w:t>
      </w:r>
    </w:p>
    <w:p>
      <w:pPr>
        <w:spacing w:after="40"/>
        <w:ind w:left="280"/>
      </w:pPr>
      <w:r>
        <w:rPr>
          <w:b/>
        </w:rPr>
        <w:t xml:space="preserve">08</w:t>
      </w:r>
      <w:r>
        <w:t xml:space="preserve">     When something goes wrong</w:t>
      </w:r>
    </w:p>
    <w:p>
      <w:pPr>
        <w:spacing w:after="40"/>
        <w:ind w:left="280"/>
      </w:pPr>
      <w:r>
        <w:rPr>
          <w:b/>
        </w:rPr>
        <w:t xml:space="preserve">09</w:t>
      </w:r>
      <w:r>
        <w:t xml:space="preserve">     Five rules that protect the data</w:t>
      </w:r>
    </w:p>
    <w:p>
      <w:pPr>
        <w:spacing w:after="40"/>
        <w:ind w:left="280"/>
      </w:pPr>
      <w:r>
        <w:rPr>
          <w:b/>
        </w:rPr>
        <w:t xml:space="preserve">10</w:t>
      </w:r>
      <w:r>
        <w:t xml:space="preserve">     Reference: every button and check</w:t>
      </w:r>
    </w:p>
    <w:p>
      <w:pPr>
        <w:pStyle w:val="Heading1"/>
      </w:pPr>
      <w:r>
        <w:t xml:space="preserve">01   What the system does</w:t>
      </w:r>
    </w:p>
    <w:p>
      <w:pPr>
        <w:pStyle w:val="Kicker"/>
      </w:pPr>
      <w:r>
        <w:t xml:space="preserve">Read this once, then never again</w:t>
      </w:r>
    </w:p>
    <w:p>
      <w:r>
        <w:t xml:space="preserve">EPAL holds an environmental discharge licence for every wastewater treatment plant. Those licences arrive as PDFs from the Portuguese authorities, and each one contains the limits the plant must respect, how often it must be sampled, and when the licence expires.</w:t>
      </w:r>
    </w:p>
    <w:p>
      <w:r>
        <w:t xml:space="preserve">Reading those PDFs by hand is slow and easy to get wrong. This system does it automatically: </w:t>
      </w:r>
      <w:r>
        <w:rPr>
          <w:b/>
        </w:rPr>
        <w:t xml:space="preserve">you drop a PDF into a folder, and a few minutes later the dashboard knows about it.</w:t>
      </w:r>
    </w:p>
    <w:p>
      <w:pPr>
        <w:pStyle w:val="Heading2"/>
      </w:pPr>
      <w:r>
        <w:t xml:space="preserve">The journey of one licence</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2224"/>
        <w:gridCol w:w="4448"/>
        <w:gridCol w:w="2965"/>
      </w:tblGrid>
      <w:tr>
        <w:trPr>
          <w:tblHeader/>
        </w:trPr>
        <w:tc>
          <w:tcPr>
            <w:tcW w:w="2224" w:type="dxa"/>
            <w:shd w:val="clear" w:color="auto" w:fill="0E5C57"/>
          </w:tcPr>
          <w:p>
            <w:pPr>
              <w:pStyle w:val="TableHead"/>
            </w:pPr>
            <w:r>
              <w:t xml:space="preserve">Stage</w:t>
            </w:r>
          </w:p>
        </w:tc>
        <w:tc>
          <w:tcPr>
            <w:tcW w:w="4448" w:type="dxa"/>
            <w:shd w:val="clear" w:color="auto" w:fill="0E5C57"/>
          </w:tcPr>
          <w:p>
            <w:pPr>
              <w:pStyle w:val="TableHead"/>
            </w:pPr>
            <w:r>
              <w:t xml:space="preserve">What happens</w:t>
            </w:r>
          </w:p>
        </w:tc>
        <w:tc>
          <w:tcPr>
            <w:tcW w:w="2965" w:type="dxa"/>
            <w:shd w:val="clear" w:color="auto" w:fill="0E5C57"/>
          </w:tcPr>
          <w:p>
            <w:pPr>
              <w:pStyle w:val="TableHead"/>
            </w:pPr>
            <w:r>
              <w:t xml:space="preserve">Where it ends up</w:t>
            </w:r>
          </w:p>
        </w:tc>
      </w:tr>
      <w:tr>
        <w:tc>
          <w:tcPr>
            <w:tcW w:w="2224" w:type="dxa"/>
          </w:tcPr>
          <w:p>
            <w:pPr>
              <w:pStyle w:val="TableCell"/>
            </w:pPr>
            <w:r>
              <w:rPr>
                <w:b/>
              </w:rPr>
              <w:t xml:space="preserve">You drop the PDF</w:t>
            </w:r>
          </w:p>
        </w:tc>
        <w:tc>
          <w:tcPr>
            <w:tcW w:w="4448" w:type="dxa"/>
          </w:tcPr>
          <w:p>
            <w:pPr>
              <w:pStyle w:val="TableCell"/>
            </w:pPr>
            <w:r>
              <w:t xml:space="preserve">You put the file in the correct inbox folder</w:t>
            </w:r>
          </w:p>
        </w:tc>
        <w:tc>
          <w:tcPr>
            <w:tcW w:w="2965" w:type="dxa"/>
          </w:tcPr>
          <w:p>
            <w:pPr>
              <w:pStyle w:val="TableCell"/>
            </w:pPr>
            <w:r>
              <w:rPr>
                <w:rStyle w:val="CodeChar"/>
              </w:rPr>
              <w:t xml:space="preserve">Drop_New_Licenses\</w:t>
            </w:r>
          </w:p>
        </w:tc>
      </w:tr>
      <w:tr>
        <w:tc>
          <w:tcPr>
            <w:tcW w:w="2224" w:type="dxa"/>
            <w:shd w:val="clear" w:color="auto" w:fill="F5F8F7"/>
          </w:tcPr>
          <w:p>
            <w:pPr>
              <w:pStyle w:val="TableCell"/>
            </w:pPr>
            <w:r>
              <w:rPr>
                <w:b/>
              </w:rPr>
              <w:t xml:space="preserve">The system reads it</w:t>
            </w:r>
          </w:p>
        </w:tc>
        <w:tc>
          <w:tcPr>
            <w:tcW w:w="4448" w:type="dxa"/>
            <w:shd w:val="clear" w:color="auto" w:fill="F5F8F7"/>
          </w:tcPr>
          <w:p>
            <w:pPr>
              <w:pStyle w:val="TableCell"/>
            </w:pPr>
            <w:r>
              <w:t xml:space="preserve">It finds the tables in the PDF and pulls out the limits, sampling frequencies and dates</w:t>
            </w:r>
          </w:p>
        </w:tc>
        <w:tc>
          <w:tcPr>
            <w:tcW w:w="2965" w:type="dxa"/>
            <w:shd w:val="clear" w:color="auto" w:fill="F5F8F7"/>
          </w:tcPr>
          <w:p>
            <w:pPr>
              <w:pStyle w:val="TableCell"/>
            </w:pPr>
            <w:r>
              <w:rPr>
                <w:rStyle w:val="CodeChar"/>
              </w:rPr>
              <w:t xml:space="preserve">extraction_JSON_…\</w:t>
            </w:r>
          </w:p>
        </w:tc>
      </w:tr>
      <w:tr>
        <w:tc>
          <w:tcPr>
            <w:tcW w:w="2224" w:type="dxa"/>
          </w:tcPr>
          <w:p>
            <w:pPr>
              <w:pStyle w:val="TableCell"/>
            </w:pPr>
            <w:r>
              <w:rPr>
                <w:b/>
              </w:rPr>
              <w:t xml:space="preserve">It checks its own work</w:t>
            </w:r>
          </w:p>
        </w:tc>
        <w:tc>
          <w:tcPr>
            <w:tcW w:w="4448" w:type="dxa"/>
          </w:tcPr>
          <w:p>
            <w:pPr>
              <w:pStyle w:val="TableCell"/>
            </w:pPr>
            <w:r>
              <w:t xml:space="preserve">Anything doubtful is flagged rather than accepted silently</w:t>
            </w:r>
          </w:p>
        </w:tc>
        <w:tc>
          <w:tcPr>
            <w:tcW w:w="2965" w:type="dxa"/>
          </w:tcPr>
          <w:p>
            <w:pPr>
              <w:pStyle w:val="TableCell"/>
            </w:pPr>
            <w:r>
              <w:rPr>
                <w:rStyle w:val="CodeChar"/>
              </w:rPr>
              <w:t xml:space="preserve">qa_report.xlsx</w:t>
            </w:r>
          </w:p>
        </w:tc>
      </w:tr>
      <w:tr>
        <w:tc>
          <w:tcPr>
            <w:tcW w:w="2224" w:type="dxa"/>
            <w:shd w:val="clear" w:color="auto" w:fill="F5F8F7"/>
          </w:tcPr>
          <w:p>
            <w:pPr>
              <w:pStyle w:val="TableCell"/>
            </w:pPr>
            <w:r>
              <w:rPr>
                <w:b/>
              </w:rPr>
              <w:t xml:space="preserve">It files the licence</w:t>
            </w:r>
          </w:p>
        </w:tc>
        <w:tc>
          <w:tcPr>
            <w:tcW w:w="4448" w:type="dxa"/>
            <w:shd w:val="clear" w:color="auto" w:fill="F5F8F7"/>
          </w:tcPr>
          <w:p>
            <w:pPr>
              <w:pStyle w:val="TableCell"/>
            </w:pPr>
            <w:r>
              <w:t xml:space="preserve">Good ones join the master workbook; problem ones are set aside for a person</w:t>
            </w:r>
          </w:p>
        </w:tc>
        <w:tc>
          <w:tcPr>
            <w:tcW w:w="2965" w:type="dxa"/>
            <w:shd w:val="clear" w:color="auto" w:fill="F5F8F7"/>
          </w:tcPr>
          <w:p>
            <w:pPr>
              <w:pStyle w:val="TableCell"/>
            </w:pPr>
            <w:r>
              <w:rPr>
                <w:rStyle w:val="CodeChar"/>
              </w:rPr>
              <w:t xml:space="preserve">master_….xlsx</w:t>
            </w:r>
            <w:r>
              <w:t xml:space="preserve"> / </w:t>
            </w:r>
            <w:r>
              <w:rPr>
                <w:rStyle w:val="CodeChar"/>
              </w:rPr>
              <w:t xml:space="preserve">data\review\</w:t>
            </w:r>
          </w:p>
        </w:tc>
      </w:tr>
      <w:tr>
        <w:tc>
          <w:tcPr>
            <w:tcW w:w="2224" w:type="dxa"/>
          </w:tcPr>
          <w:p>
            <w:pPr>
              <w:pStyle w:val="TableCell"/>
            </w:pPr>
            <w:r>
              <w:rPr>
                <w:b/>
              </w:rPr>
              <w:t xml:space="preserve">It archives the PDF</w:t>
            </w:r>
          </w:p>
        </w:tc>
        <w:tc>
          <w:tcPr>
            <w:tcW w:w="4448" w:type="dxa"/>
          </w:tcPr>
          <w:p>
            <w:pPr>
              <w:pStyle w:val="TableCell"/>
            </w:pPr>
            <w:r>
              <w:t xml:space="preserve">The original moves to the archive — one copy, never two</w:t>
            </w:r>
          </w:p>
        </w:tc>
        <w:tc>
          <w:tcPr>
            <w:tcW w:w="2965" w:type="dxa"/>
          </w:tcPr>
          <w:p>
            <w:pPr>
              <w:pStyle w:val="TableCell"/>
            </w:pPr>
            <w:r>
              <w:rPr>
                <w:rStyle w:val="CodeChar"/>
              </w:rPr>
              <w:t xml:space="preserve">data\pdfs\NEW\</w:t>
            </w:r>
          </w:p>
        </w:tc>
      </w:tr>
      <w:tr>
        <w:tc>
          <w:tcPr>
            <w:tcW w:w="2224" w:type="dxa"/>
            <w:shd w:val="clear" w:color="auto" w:fill="F5F8F7"/>
          </w:tcPr>
          <w:p>
            <w:pPr>
              <w:pStyle w:val="TableCell"/>
            </w:pPr>
            <w:r>
              <w:rPr>
                <w:b/>
              </w:rPr>
              <w:t xml:space="preserve">The dashboard updates</w:t>
            </w:r>
          </w:p>
        </w:tc>
        <w:tc>
          <w:tcPr>
            <w:tcW w:w="4448" w:type="dxa"/>
            <w:shd w:val="clear" w:color="auto" w:fill="F5F8F7"/>
          </w:tcPr>
          <w:p>
            <w:pPr>
              <w:pStyle w:val="TableCell"/>
            </w:pPr>
            <w:r>
              <w:t xml:space="preserve">You press Refresh in Power BI and the new licence appears</w:t>
            </w:r>
          </w:p>
        </w:tc>
        <w:tc>
          <w:tcPr>
            <w:tcW w:w="2965" w:type="dxa"/>
            <w:shd w:val="clear" w:color="auto" w:fill="F5F8F7"/>
          </w:tcPr>
          <w:p>
            <w:pPr>
              <w:pStyle w:val="TableCell"/>
            </w:pPr>
            <w:r>
              <w:rPr>
                <w:rStyle w:val="CodeChar"/>
              </w:rPr>
              <w:t xml:space="preserve">EPAL_Licencas_Dashboard</w:t>
            </w:r>
          </w:p>
        </w:tc>
      </w:tr>
    </w:tbl>
    <w:p>
      <w:pPr>
        <w:pStyle w:val="Spacer"/>
      </w:pPr>
    </w:p>
    <w:p>
      <w:pPr>
        <w:pStyle w:val="Heading2"/>
      </w:pPr>
      <w:r>
        <w:t xml:space="preserve">Two kinds of licence</w:t>
      </w:r>
    </w:p>
    <w:p>
      <w:r>
        <w:t xml:space="preserve">You will see two names everywhere. They are two different licensing regimes, and a plant can hold one or both:</w:t>
      </w:r>
    </w:p>
    <w:p>
      <w:pPr>
        <w:pStyle w:val="ListBullet"/>
        <w:numPr>
          <w:ilvl w:val="0"/>
          <w:numId w:val="1"/>
        </w:numPr>
      </w:pPr>
      <w:r>
        <w:rPr>
          <w:b/>
        </w:rPr>
        <w:t xml:space="preserve">TUA</w:t>
      </w:r>
      <w:r>
        <w:t xml:space="preserve"> — </w:t>
      </w:r>
      <w:r>
        <w:rPr>
          <w:i/>
        </w:rPr>
        <w:t xml:space="preserve">Título Único Ambiental</w:t>
      </w:r>
      <w:r>
        <w:t xml:space="preserve">, the newer, consolidated permit.</w:t>
      </w:r>
    </w:p>
    <w:p>
      <w:pPr>
        <w:pStyle w:val="ListBullet"/>
        <w:numPr>
          <w:ilvl w:val="0"/>
          <w:numId w:val="1"/>
        </w:numPr>
      </w:pPr>
      <w:r>
        <w:rPr>
          <w:b/>
        </w:rPr>
        <w:t xml:space="preserve">LURH</w:t>
      </w:r>
      <w:r>
        <w:t xml:space="preserve"> — </w:t>
      </w:r>
      <w:r>
        <w:rPr>
          <w:i/>
        </w:rPr>
        <w:t xml:space="preserve">Licença de Utilização dos Recursos Hídricos</w:t>
      </w:r>
      <w:r>
        <w:t xml:space="preserve">, the older regime.</w:t>
      </w:r>
    </w:p>
    <w:p>
      <w:r>
        <w:t xml:space="preserve">They are processed separately because the documents look completely different, which is why you will see a pair of everything — two inboxes, two buttons, two master workbooks.</w:t>
      </w:r>
    </w:p>
    <w:p>
      <w:pPr>
        <w:pStyle w:val="Heading1"/>
      </w:pPr>
      <w:r>
        <w:t xml:space="preserve">02   Before you set up a laptop</w:t>
      </w:r>
    </w:p>
    <w:p>
      <w:pPr>
        <w:pStyle w:val="Kicker"/>
      </w:pPr>
      <w:r>
        <w:t xml:space="preserve">Five minutes of checking saves an afternoon</w:t>
      </w:r>
    </w:p>
    <w:p>
      <w:r>
        <w:t xml:space="preserve">Confirm all four before you start. Each one causes a different failure later.</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2965"/>
        <w:gridCol w:w="6672"/>
      </w:tblGrid>
      <w:tr>
        <w:trPr>
          <w:tblHeader/>
        </w:trPr>
        <w:tc>
          <w:tcPr>
            <w:tcW w:w="2965" w:type="dxa"/>
            <w:shd w:val="clear" w:color="auto" w:fill="0E5C57"/>
          </w:tcPr>
          <w:p>
            <w:pPr>
              <w:pStyle w:val="TableHead"/>
            </w:pPr>
            <w:r>
              <w:t xml:space="preserve">Check</w:t>
            </w:r>
          </w:p>
        </w:tc>
        <w:tc>
          <w:tcPr>
            <w:tcW w:w="6672" w:type="dxa"/>
            <w:shd w:val="clear" w:color="auto" w:fill="0E5C57"/>
          </w:tcPr>
          <w:p>
            <w:pPr>
              <w:pStyle w:val="TableHead"/>
            </w:pPr>
            <w:r>
              <w:t xml:space="preserve">Why it matters</w:t>
            </w:r>
          </w:p>
        </w:tc>
      </w:tr>
      <w:tr>
        <w:tc>
          <w:tcPr>
            <w:tcW w:w="2965" w:type="dxa"/>
          </w:tcPr>
          <w:p>
            <w:pPr>
              <w:pStyle w:val="TableCell"/>
            </w:pPr>
            <w:r>
              <w:rPr>
                <w:b/>
              </w:rPr>
              <w:t xml:space="preserve">Windows, not Mac</w:t>
            </w:r>
          </w:p>
        </w:tc>
        <w:tc>
          <w:tcPr>
            <w:tcW w:w="6672" w:type="dxa"/>
          </w:tcPr>
          <w:p>
            <w:pPr>
              <w:pStyle w:val="TableCell"/>
            </w:pPr>
            <w:r>
              <w:t xml:space="preserve">The system is built for Windows. It will not run on a Mac.</w:t>
            </w:r>
          </w:p>
        </w:tc>
      </w:tr>
      <w:tr>
        <w:tc>
          <w:tcPr>
            <w:tcW w:w="2965" w:type="dxa"/>
            <w:shd w:val="clear" w:color="auto" w:fill="F5F8F7"/>
          </w:tcPr>
          <w:p>
            <w:pPr>
              <w:pStyle w:val="TableCell"/>
            </w:pPr>
            <w:r>
              <w:rPr>
                <w:b/>
              </w:rPr>
              <w:t xml:space="preserve">Power BI Desktop is installed</w:t>
            </w:r>
          </w:p>
        </w:tc>
        <w:tc>
          <w:tcPr>
            <w:tcW w:w="6672" w:type="dxa"/>
            <w:shd w:val="clear" w:color="auto" w:fill="F5F8F7"/>
          </w:tcPr>
          <w:p>
            <w:pPr>
              <w:pStyle w:val="TableCell"/>
            </w:pPr>
            <w:r>
              <w:t xml:space="preserve">Needed to open the dashboard. Free from the Microsoft Store.</w:t>
            </w:r>
          </w:p>
        </w:tc>
      </w:tr>
      <w:tr>
        <w:tc>
          <w:tcPr>
            <w:tcW w:w="2965" w:type="dxa"/>
          </w:tcPr>
          <w:p>
            <w:pPr>
              <w:pStyle w:val="TableCell"/>
            </w:pPr>
            <w:r>
              <w:rPr>
                <w:b/>
              </w:rPr>
              <w:t xml:space="preserve">The folder has finished syncing</w:t>
            </w:r>
          </w:p>
        </w:tc>
        <w:tc>
          <w:tcPr>
            <w:tcW w:w="6672" w:type="dxa"/>
          </w:tcPr>
          <w:p>
            <w:pPr>
              <w:pStyle w:val="TableCell"/>
            </w:pPr>
            <w:r>
              <w:t xml:space="preserve">The single most common cause of “it does not work”. The OneDrive icon must be a steady green tick — not spinning arrows. There are around 11,000 files; on a slow connection this takes a while.</w:t>
            </w:r>
          </w:p>
        </w:tc>
      </w:tr>
      <w:tr>
        <w:tc>
          <w:tcPr>
            <w:tcW w:w="2965" w:type="dxa"/>
            <w:shd w:val="clear" w:color="auto" w:fill="F5F8F7"/>
          </w:tcPr>
          <w:p>
            <w:pPr>
              <w:pStyle w:val="TableCell"/>
            </w:pPr>
            <w:r>
              <w:rPr>
                <w:b/>
              </w:rPr>
              <w:t xml:space="preserve">At least 2 GB free disk space</w:t>
            </w:r>
          </w:p>
        </w:tc>
        <w:tc>
          <w:tcPr>
            <w:tcW w:w="6672" w:type="dxa"/>
            <w:shd w:val="clear" w:color="auto" w:fill="F5F8F7"/>
          </w:tcPr>
          <w:p>
            <w:pPr>
              <w:pStyle w:val="TableCell"/>
            </w:pPr>
            <w:r>
              <w:t xml:space="preserve">The folder is about 1 GB and Power BI needs room to work.</w:t>
            </w:r>
          </w:p>
        </w:tc>
      </w:tr>
    </w:tbl>
    <w:p>
      <w:pPr>
        <w:pStyle w:val="Spacer"/>
      </w:pPr>
    </w:p>
    <w:p>
      <w:pPr>
        <w:pStyle w:val="NoteLabel"/>
        <w:pBdr>
          <w:left w:val="single" w:sz="18" w:space="8" w:color="9A6212"/>
        </w:pBdr>
        <w:shd w:val="clear" w:color="auto" w:fill="FBF3E4"/>
        <w:ind w:left="170" w:right="170"/>
        <w:spacing w:before="240" w:after="20"/>
      </w:pPr>
      <w:r>
        <w:t xml:space="preserve">The path length trap</w:t>
      </w:r>
    </w:p>
    <w:p>
      <w:pPr>
        <w:pStyle w:val="NoteBody"/>
        <w:pBdr>
          <w:left w:val="single" w:sz="18" w:space="8" w:color="9A6212"/>
        </w:pBdr>
        <w:shd w:val="clear" w:color="auto" w:fill="FBF3E4"/>
        <w:ind w:left="170" w:right="170"/>
        <w:spacing w:after="100"/>
      </w:pPr>
      <w:r>
        <w:t xml:space="preserve">Windows refuses to open files whose full path is longer than 260 characters, and the folder already uses 146 of them. </w:t>
      </w:r>
      <w:r>
        <w:rPr>
          <w:b/>
        </w:rPr>
        <w:t xml:space="preserve">If the shared folder ends up too deep on the laptop, some files simply will not arrive — with no error message at all.</w:t>
      </w:r>
    </w:p>
    <w:p>
      <w:pPr>
        <w:pStyle w:val="NoteBody"/>
        <w:pBdr>
          <w:left w:val="single" w:sz="18" w:space="8" w:color="9A6212"/>
        </w:pBdr>
        <w:shd w:val="clear" w:color="auto" w:fill="FBF3E4"/>
        <w:ind w:left="170" w:right="170"/>
        <w:spacing w:after="240"/>
      </w:pPr>
      <w:r>
        <w:t xml:space="preserve">This is why the folder must be added with </w:t>
      </w:r>
      <w:r>
        <w:rPr>
          <w:b/>
        </w:rPr>
        <w:t xml:space="preserve">“Add shortcut to OneDrive”</w:t>
      </w:r>
      <w:r>
        <w:t xml:space="preserve"> on the project folder itself, never by syncing the whole document library. The check in step 5 below confirms it.</w:t>
      </w:r>
    </w:p>
    <w:p>
      <w:pPr>
        <w:pStyle w:val="Heading1"/>
      </w:pPr>
      <w:r>
        <w:t xml:space="preserve">03   Setting up a laptop</w:t>
      </w:r>
    </w:p>
    <w:p>
      <w:pPr>
        <w:pStyle w:val="Kicker"/>
      </w:pPr>
      <w:r>
        <w:t xml:space="preserve">Once per computer  ·  about 15 minutes, mostly waiting</w:t>
      </w:r>
    </w:p>
    <w:p>
      <w:r>
        <w:t xml:space="preserve">Nothing gets installed and no administrator rights are needed. The system carries its own copy of the software it needs, inside the folder.</w:t>
      </w:r>
    </w:p>
    <w:p>
      <w:pPr>
        <w:pStyle w:val="Heading3"/>
      </w:pPr>
      <w:r>
        <w:t xml:space="preserve">1.  Add the folder to this laptop</w:t>
      </w:r>
    </w:p>
    <w:p>
      <w:r>
        <w:t xml:space="preserve">Open the team’s SharePoint in a browser, go to the </w:t>
      </w:r>
      <w:r>
        <w:rPr>
          <w:b/>
        </w:rPr>
        <w:t xml:space="preserve">Licences project</w:t>
      </w:r>
      <w:r>
        <w:t xml:space="preserve"> folder, and choose </w:t>
      </w:r>
      <w:r>
        <w:rPr>
          <w:b/>
        </w:rPr>
        <w:t xml:space="preserve">“Add shortcut to OneDrive”</w:t>
      </w:r>
      <w:r>
        <w:t xml:space="preserve">.</w:t>
      </w:r>
    </w:p>
    <w:p>
      <w:r>
        <w:t xml:space="preserve">Do </w:t>
      </w:r>
      <w:r>
        <w:rPr>
          <w:i/>
        </w:rPr>
        <w:t xml:space="preserve">not</w:t>
      </w:r>
      <w:r>
        <w:t xml:space="preserve"> use “Sync” on the whole library — that creates a much longer path and files start disappearing silently.</w:t>
      </w:r>
    </w:p>
    <w:p>
      <w:pPr>
        <w:pStyle w:val="Heading3"/>
      </w:pPr>
      <w:r>
        <w:t xml:space="preserve">2.  Wait for it to finish arriving</w:t>
      </w:r>
    </w:p>
    <w:p>
      <w:r>
        <w:t xml:space="preserve">Watch the OneDrive icon in the taskbar until it is a steady green tick. Around 11,000 files have to come down. Starting before this finishes is the most common reason setup fails.</w:t>
      </w:r>
    </w:p>
    <w:p>
      <w:pPr>
        <w:pStyle w:val="Heading3"/>
      </w:pPr>
      <w:r>
        <w:t xml:space="preserve">3.  Double-click BOTOES\CONFIGURAR_ESTE_PC.bat</w:t>
      </w:r>
    </w:p>
    <w:p>
      <w:r>
        <w:t xml:space="preserve">It runs five steps and prints what it is doing:</w:t>
      </w:r>
    </w:p>
    <w:p>
      <w:pPr>
        <w:pStyle w:val="ListBullet"/>
        <w:numPr>
          <w:ilvl w:val="0"/>
          <w:numId w:val="1"/>
        </w:numPr>
      </w:pPr>
      <w:r>
        <w:t xml:space="preserve">finds the project’s own Python;</w:t>
      </w:r>
    </w:p>
    <w:p>
      <w:pPr>
        <w:pStyle w:val="ListBullet"/>
        <w:numPr>
          <w:ilvl w:val="0"/>
          <w:numId w:val="1"/>
        </w:numPr>
      </w:pPr>
      <w:r>
        <w:t xml:space="preserve">pins it to the disk, so OneDrive stops emptying it later;</w:t>
      </w:r>
    </w:p>
    <w:p>
      <w:pPr>
        <w:pStyle w:val="ListBullet"/>
        <w:numPr>
          <w:ilvl w:val="0"/>
          <w:numId w:val="1"/>
        </w:numPr>
      </w:pPr>
      <w:r>
        <w:t xml:space="preserve">confirms every library the system needs actually loads;</w:t>
      </w:r>
    </w:p>
    <w:p>
      <w:pPr>
        <w:pStyle w:val="ListBullet"/>
        <w:numPr>
          <w:ilvl w:val="0"/>
          <w:numId w:val="1"/>
        </w:numPr>
      </w:pPr>
      <w:r>
        <w:t xml:space="preserve">writes this laptop’s own settings file;</w:t>
      </w:r>
    </w:p>
    <w:p>
      <w:pPr>
        <w:pStyle w:val="ListBullet"/>
        <w:numPr>
          <w:ilvl w:val="0"/>
          <w:numId w:val="1"/>
        </w:numPr>
      </w:pPr>
      <w:r>
        <w:t xml:space="preserve">points the dashboard at this laptop’s data.</w:t>
      </w:r>
    </w:p>
    <w:p>
      <w:r>
        <w:t xml:space="preserve">It must end with </w:t>
      </w:r>
      <w:r>
        <w:rPr>
          <w:b/>
        </w:rPr>
        <w:t xml:space="preserve">CONFIGURAÇÃO TERMINADA</w:t>
      </w:r>
      <w:r>
        <w:t xml:space="preserve">.</w:t>
      </w:r>
    </w:p>
    <w:p>
      <w:pPr>
        <w:pStyle w:val="Heading3"/>
      </w:pPr>
      <w:r>
        <w:t xml:space="preserve">4.  Close Power BI first if it is open</w:t>
      </w:r>
    </w:p>
    <w:p>
      <w:r>
        <w:t xml:space="preserve">Step 3 edits the dashboard file. If Power BI has it open, it will overwrite the change when it saves. Close Power BI, then run the setup again.</w:t>
      </w:r>
    </w:p>
    <w:p>
      <w:pPr>
        <w:pStyle w:val="Heading3"/>
      </w:pPr>
      <w:r>
        <w:t xml:space="preserve">5.  Confirm the laptop is genuinely ready</w:t>
      </w:r>
    </w:p>
    <w:p>
      <w:r>
        <w:t xml:space="preserve">Open the folder, hold Shift, right-click in an empty area, choose </w:t>
      </w:r>
      <w:r>
        <w:rPr>
          <w:i/>
        </w:rPr>
        <w:t xml:space="preserve">Open PowerShell window here</w:t>
      </w:r>
      <w:r>
        <w:t xml:space="preserve">, and run:</w:t>
      </w:r>
    </w:p>
    <w:p>
      <w:pPr>
        <w:pStyle w:val="CodeBlock"/>
        <w:shd w:val="clear" w:color="auto" w:fill="EDF2F1"/>
        <w:spacing w:before="120" w:after="160"/>
      </w:pPr>
      <w:r>
        <w:t xml:space="preserve">runtime\python\python.exe src\_verificar_migracao.py</w:t>
      </w:r>
    </w:p>
    <w:p>
      <w:r>
        <w:t xml:space="preserve">It must print </w:t>
      </w:r>
      <w:r>
        <w:rPr>
          <w:b/>
        </w:rPr>
        <w:t xml:space="preserve">TUDO PRONTO</w:t>
      </w:r>
      <w:r>
        <w:t xml:space="preserve">. If it prints </w:t>
      </w:r>
      <w:r>
        <w:rPr>
          <w:b/>
        </w:rPr>
        <w:t xml:space="preserve">PROBLEMA</w:t>
      </w:r>
      <w:r>
        <w:t xml:space="preserve">, the line underneath says exactly what to fix.</w:t>
      </w:r>
    </w:p>
    <w:p>
      <w:pPr>
        <w:pStyle w:val="Heading3"/>
      </w:pPr>
      <w:r>
        <w:t xml:space="preserve">6.  Open the dashboard once</w:t>
      </w:r>
    </w:p>
    <w:p>
      <w:r>
        <w:t xml:space="preserve">Open </w:t>
      </w:r>
      <w:r>
        <w:rPr>
          <w:rStyle w:val="CodeChar"/>
        </w:rPr>
        <w:t xml:space="preserve">reports\EPAL_Licencas_Dashboard\EPAL_Licencas_Dashboard.pbip</w:t>
      </w:r>
      <w:r>
        <w:t xml:space="preserve">, wait for it to load, and press </w:t>
      </w:r>
      <w:r>
        <w:rPr>
          <w:b/>
        </w:rPr>
        <w:t xml:space="preserve">Refresh</w:t>
      </w:r>
      <w:r>
        <w:t xml:space="preserve">. The first load takes a few minutes. The licence count should match what colleagues see.</w:t>
      </w:r>
    </w:p>
    <w:p>
      <w:pPr>
        <w:pStyle w:val="NoteLabel"/>
        <w:pBdr>
          <w:left w:val="single" w:sz="18" w:space="8" w:color="0E5C57"/>
        </w:pBdr>
        <w:shd w:val="clear" w:color="auto" w:fill="EDF3F2"/>
        <w:ind w:left="170" w:right="170"/>
        <w:spacing w:before="240" w:after="20"/>
      </w:pPr>
      <w:r>
        <w:t xml:space="preserve">What the setup actually changed</w:t>
      </w:r>
    </w:p>
    <w:p>
      <w:pPr>
        <w:pStyle w:val="NoteBody"/>
        <w:pBdr>
          <w:left w:val="single" w:sz="18" w:space="8" w:color="0E5C57"/>
        </w:pBdr>
        <w:shd w:val="clear" w:color="auto" w:fill="EDF3F2"/>
        <w:ind w:left="170" w:right="170"/>
        <w:spacing w:after="240"/>
      </w:pPr>
      <w:r>
        <w:t xml:space="preserve">Two things live outside the shared folder, on this laptop only: a small settings file in </w:t>
      </w:r>
      <w:r>
        <w:rPr>
          <w:rStyle w:val="CodeChar"/>
        </w:rPr>
        <w:t xml:space="preserve">%LOCALAPPDATA%\EPAL</w:t>
      </w:r>
      <w:r>
        <w:t xml:space="preserve">, and a shortcut at </w:t>
      </w:r>
      <w:r>
        <w:rPr>
          <w:rStyle w:val="CodeChar"/>
        </w:rPr>
        <w:t xml:space="preserve">C:\EPAL\powerbi</w:t>
      </w:r>
      <w:r>
        <w:t xml:space="preserve"> pointing at this laptop’s copy of the data. That shortcut is why the dashboard works for everyone at once instead of breaking each time a different person opens it.</w:t>
      </w:r>
    </w:p>
    <w:p>
      <w:pPr>
        <w:pStyle w:val="Heading1"/>
      </w:pPr>
      <w:r>
        <w:t xml:space="preserve">04   Day-to-day: adding a licence</w:t>
      </w:r>
    </w:p>
    <w:p>
      <w:pPr>
        <w:pStyle w:val="Kicker"/>
      </w:pPr>
      <w:r>
        <w:t xml:space="preserve">The only routine task</w:t>
      </w:r>
    </w:p>
    <w:p>
      <w:pPr>
        <w:pStyle w:val="Heading3"/>
      </w:pPr>
      <w:r>
        <w:t xml:space="preserve">1.  Put the PDF in the right inbox</w:t>
      </w:r>
    </w:p>
    <w:p>
      <w:r>
        <w:t xml:space="preserve">The two regimes have separate inboxes and it matters which you use:</w:t>
      </w:r>
    </w:p>
    <w:p>
      <w:pPr>
        <w:pStyle w:val="CodeBlock"/>
        <w:shd w:val="clear" w:color="auto" w:fill="EDF2F1"/>
        <w:spacing w:before="120" w:after="0"/>
      </w:pPr>
      <w:r>
        <w:t xml:space="preserve">Drop_New_Licenses\new_TUA_licences\     &lt;-- TUA certificates</w:t>
      </w:r>
    </w:p>
    <w:p>
      <w:pPr>
        <w:pStyle w:val="CodeBlock"/>
        <w:shd w:val="clear" w:color="auto" w:fill="EDF2F1"/>
        <w:spacing w:before="0" w:after="160"/>
      </w:pPr>
      <w:r>
        <w:t xml:space="preserve">Drop_New_Licenses\new_LURH_licences\    &lt;-- LURH licences</w:t>
      </w:r>
    </w:p>
    <w:p>
      <w:r>
        <w:t xml:space="preserve">You can drop several at once.</w:t>
      </w:r>
    </w:p>
    <w:p>
      <w:pPr>
        <w:pStyle w:val="Heading3"/>
      </w:pPr>
      <w:r>
        <w:t xml:space="preserve">2.  Double-click the matching button</w:t>
      </w:r>
    </w:p>
    <w:p>
      <w:pPr>
        <w:pStyle w:val="CodeBlock"/>
        <w:shd w:val="clear" w:color="auto" w:fill="EDF2F1"/>
        <w:spacing w:before="120" w:after="0"/>
      </w:pPr>
      <w:r>
        <w:t xml:space="preserve">BOTOES\run_tua.bat</w:t>
      </w:r>
    </w:p>
    <w:p>
      <w:pPr>
        <w:pStyle w:val="CodeBlock"/>
        <w:shd w:val="clear" w:color="auto" w:fill="EDF2F1"/>
        <w:spacing w:before="0" w:after="160"/>
      </w:pPr>
      <w:r>
        <w:t xml:space="preserve">BOTOES\run_lurh.bat</w:t>
      </w:r>
    </w:p>
    <w:p>
      <w:r>
        <w:t xml:space="preserve">A black window opens and reports each licence as it goes. Leave it until it says </w:t>
      </w:r>
      <w:r>
        <w:rPr>
          <w:b/>
        </w:rPr>
        <w:t xml:space="preserve">DONE</w:t>
      </w:r>
      <w:r>
        <w:t xml:space="preserve">. Expect roughly </w:t>
      </w:r>
      <w:r>
        <w:rPr>
          <w:b/>
        </w:rPr>
        <w:t xml:space="preserve">40 seconds per TUA certificate</w:t>
      </w:r>
      <w:r>
        <w:t xml:space="preserve">; LURH licences are much quicker.</w:t>
      </w:r>
    </w:p>
    <w:p>
      <w:pPr>
        <w:pStyle w:val="Heading3"/>
      </w:pPr>
      <w:r>
        <w:t xml:space="preserve">3.  Read the result</w:t>
      </w:r>
    </w:p>
    <w:p>
      <w:r>
        <w:t xml:space="preserve">Only two outcomes matter:</w:t>
      </w:r>
    </w:p>
    <w:p>
      <w:pPr>
        <w:pStyle w:val="ListBullet"/>
        <w:numPr>
          <w:ilvl w:val="0"/>
          <w:numId w:val="1"/>
        </w:numPr>
      </w:pPr>
      <w:r>
        <w:rPr>
          <w:b/>
          <w:color w:val="2D6647"/>
        </w:rPr>
        <w:t xml:space="preserve">OK</w:t>
      </w:r>
      <w:r>
        <w:t xml:space="preserve">  — the licence is in the master and the PDF has moved to the archive.</w:t>
      </w:r>
    </w:p>
    <w:p>
      <w:pPr>
        <w:pStyle w:val="ListBullet"/>
        <w:numPr>
          <w:ilvl w:val="0"/>
          <w:numId w:val="1"/>
        </w:numPr>
      </w:pPr>
      <w:r>
        <w:rPr>
          <w:b/>
          <w:color w:val="9A6212"/>
        </w:rPr>
        <w:t xml:space="preserve">Review</w:t>
      </w:r>
      <w:r>
        <w:t xml:space="preserve">  — the PDF stayed in </w:t>
      </w:r>
      <w:r>
        <w:rPr>
          <w:rStyle w:val="CodeChar"/>
        </w:rPr>
        <w:t xml:space="preserve">data\review\</w:t>
      </w:r>
      <w:r>
        <w:t xml:space="preserve"> with a </w:t>
      </w:r>
      <w:r>
        <w:rPr>
          <w:rStyle w:val="CodeChar"/>
        </w:rPr>
        <w:t xml:space="preserve">.txt</w:t>
      </w:r>
      <w:r>
        <w:t xml:space="preserve"> beside it saying, in plain language, what went wrong.</w:t>
      </w:r>
    </w:p>
    <w:p>
      <w:pPr>
        <w:pStyle w:val="Heading3"/>
      </w:pPr>
      <w:r>
        <w:t xml:space="preserve">4.  Refresh the dashboard</w:t>
      </w:r>
    </w:p>
    <w:p>
      <w:r>
        <w:t xml:space="preserve">Open the dashboard and press </w:t>
      </w:r>
      <w:r>
        <w:rPr>
          <w:b/>
        </w:rPr>
        <w:t xml:space="preserve">Refresh</w:t>
      </w:r>
      <w:r>
        <w:t xml:space="preserve">. Until you do, it shows yesterday’s picture.</w:t>
      </w:r>
    </w:p>
    <w:p>
      <w:pPr>
        <w:pStyle w:val="NoteLabel"/>
        <w:pBdr>
          <w:left w:val="single" w:sz="18" w:space="8" w:color="9A6212"/>
        </w:pBdr>
        <w:shd w:val="clear" w:color="auto" w:fill="FBF3E4"/>
        <w:ind w:left="170" w:right="170"/>
        <w:spacing w:before="240" w:after="20"/>
      </w:pPr>
      <w:r>
        <w:t xml:space="preserve">Only one person at a time</w:t>
      </w:r>
    </w:p>
    <w:p>
      <w:pPr>
        <w:pStyle w:val="NoteBody"/>
        <w:pBdr>
          <w:left w:val="single" w:sz="18" w:space="8" w:color="9A6212"/>
        </w:pBdr>
        <w:shd w:val="clear" w:color="auto" w:fill="FBF3E4"/>
        <w:ind w:left="170" w:right="170"/>
        <w:spacing w:after="240"/>
      </w:pPr>
      <w:r>
        <w:t xml:space="preserve">If a colleague is already running an extraction, yours will stop immediately and tell you who is running it. That is deliberate — two people writing to the master workbook at the same time would erase each other’s licences. Wait for them to finish and run it again.</w:t>
      </w:r>
    </w:p>
    <w:p>
      <w:pPr>
        <w:pStyle w:val="Heading2"/>
      </w:pPr>
      <w:r>
        <w:t xml:space="preserve">If a licence lands in review</w:t>
      </w:r>
    </w:p>
    <w:p>
      <w:r>
        <w:t xml:space="preserve">Open the </w:t>
      </w:r>
      <w:r>
        <w:rPr>
          <w:rStyle w:val="CodeChar"/>
        </w:rPr>
        <w:t xml:space="preserve">.txt</w:t>
      </w:r>
      <w:r>
        <w:t xml:space="preserve"> file next to the PDF. It names the problem. The most common ones are harmless:</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2753"/>
        <w:gridCol w:w="3442"/>
        <w:gridCol w:w="3442"/>
      </w:tblGrid>
      <w:tr>
        <w:trPr>
          <w:tblHeader/>
        </w:trPr>
        <w:tc>
          <w:tcPr>
            <w:tcW w:w="2753" w:type="dxa"/>
            <w:shd w:val="clear" w:color="auto" w:fill="0E5C57"/>
          </w:tcPr>
          <w:p>
            <w:pPr>
              <w:pStyle w:val="TableHead"/>
            </w:pPr>
            <w:r>
              <w:t xml:space="preserve">What the note says</w:t>
            </w:r>
          </w:p>
        </w:tc>
        <w:tc>
          <w:tcPr>
            <w:tcW w:w="3442" w:type="dxa"/>
            <w:shd w:val="clear" w:color="auto" w:fill="0E5C57"/>
          </w:tcPr>
          <w:p>
            <w:pPr>
              <w:pStyle w:val="TableHead"/>
            </w:pPr>
            <w:r>
              <w:t xml:space="preserve">What it means</w:t>
            </w:r>
          </w:p>
        </w:tc>
        <w:tc>
          <w:tcPr>
            <w:tcW w:w="3442" w:type="dxa"/>
            <w:shd w:val="clear" w:color="auto" w:fill="0E5C57"/>
          </w:tcPr>
          <w:p>
            <w:pPr>
              <w:pStyle w:val="TableHead"/>
            </w:pPr>
            <w:r>
              <w:t xml:space="preserve">What to do</w:t>
            </w:r>
          </w:p>
        </w:tc>
      </w:tr>
      <w:tr>
        <w:tc>
          <w:tcPr>
            <w:tcW w:w="2753" w:type="dxa"/>
          </w:tcPr>
          <w:p>
            <w:pPr>
              <w:pStyle w:val="TableCell"/>
            </w:pPr>
            <w:r>
              <w:t xml:space="preserve">filename not in the expected pattern</w:t>
            </w:r>
          </w:p>
        </w:tc>
        <w:tc>
          <w:tcPr>
            <w:tcW w:w="3442" w:type="dxa"/>
          </w:tcPr>
          <w:p>
            <w:pPr>
              <w:pStyle w:val="TableCell"/>
            </w:pPr>
            <w:r>
              <w:t xml:space="preserve">The file name does not follow the usual convention, so the dates could not be cross-checked</w:t>
            </w:r>
          </w:p>
        </w:tc>
        <w:tc>
          <w:tcPr>
            <w:tcW w:w="3442" w:type="dxa"/>
          </w:tcPr>
          <w:p>
            <w:pPr>
              <w:pStyle w:val="TableCell"/>
            </w:pPr>
            <w:r>
              <w:t xml:space="preserve">Nothing. The licence was still read correctly.</w:t>
            </w:r>
          </w:p>
        </w:tc>
      </w:tr>
      <w:tr>
        <w:tc>
          <w:tcPr>
            <w:tcW w:w="2753" w:type="dxa"/>
            <w:shd w:val="clear" w:color="auto" w:fill="F5F8F7"/>
          </w:tcPr>
          <w:p>
            <w:pPr>
              <w:pStyle w:val="TableCell"/>
            </w:pPr>
            <w:r>
              <w:t xml:space="preserve">the master workbook is open/locked in Excel</w:t>
            </w:r>
          </w:p>
        </w:tc>
        <w:tc>
          <w:tcPr>
            <w:tcW w:w="3442" w:type="dxa"/>
            <w:shd w:val="clear" w:color="auto" w:fill="F5F8F7"/>
          </w:tcPr>
          <w:p>
            <w:pPr>
              <w:pStyle w:val="TableCell"/>
            </w:pPr>
            <w:r>
              <w:t xml:space="preserve">Someone had the master open, so the data was parked in a side file</w:t>
            </w:r>
          </w:p>
        </w:tc>
        <w:tc>
          <w:tcPr>
            <w:tcW w:w="3442" w:type="dxa"/>
            <w:shd w:val="clear" w:color="auto" w:fill="F5F8F7"/>
          </w:tcPr>
          <w:p>
            <w:pPr>
              <w:pStyle w:val="TableCell"/>
            </w:pPr>
            <w:r>
              <w:t xml:space="preserve">Close Excel and run the button again. The parked data is picked up automatically.</w:t>
            </w:r>
          </w:p>
        </w:tc>
      </w:tr>
      <w:tr>
        <w:tc>
          <w:tcPr>
            <w:tcW w:w="2753" w:type="dxa"/>
          </w:tcPr>
          <w:p>
            <w:pPr>
              <w:pStyle w:val="TableCell"/>
            </w:pPr>
            <w:r>
              <w:t xml:space="preserve">no discharge conditions were extracted</w:t>
            </w:r>
          </w:p>
        </w:tc>
        <w:tc>
          <w:tcPr>
            <w:tcW w:w="3442" w:type="dxa"/>
          </w:tcPr>
          <w:p>
            <w:pPr>
              <w:pStyle w:val="TableCell"/>
            </w:pPr>
            <w:r>
              <w:t xml:space="preserve">The system could not find the limits table — often an older document format</w:t>
            </w:r>
          </w:p>
        </w:tc>
        <w:tc>
          <w:tcPr>
            <w:tcW w:w="3442" w:type="dxa"/>
          </w:tcPr>
          <w:p>
            <w:pPr>
              <w:pStyle w:val="TableCell"/>
            </w:pPr>
            <w:r>
              <w:t xml:space="preserve">Check the PDF yourself. If the table really is there, send it to whoever maintains the system.</w:t>
            </w:r>
          </w:p>
        </w:tc>
      </w:tr>
      <w:tr>
        <w:tc>
          <w:tcPr>
            <w:tcW w:w="2753" w:type="dxa"/>
            <w:shd w:val="clear" w:color="auto" w:fill="F5F8F7"/>
          </w:tcPr>
          <w:p>
            <w:pPr>
              <w:pStyle w:val="TableCell"/>
            </w:pPr>
            <w:r>
              <w:t xml:space="preserve">extraction crashed</w:t>
            </w:r>
          </w:p>
        </w:tc>
        <w:tc>
          <w:tcPr>
            <w:tcW w:w="3442" w:type="dxa"/>
            <w:shd w:val="clear" w:color="auto" w:fill="F5F8F7"/>
          </w:tcPr>
          <w:p>
            <w:pPr>
              <w:pStyle w:val="TableCell"/>
            </w:pPr>
            <w:r>
              <w:t xml:space="preserve">The file could not be opened at all — possibly damaged or not a real PDF</w:t>
            </w:r>
          </w:p>
        </w:tc>
        <w:tc>
          <w:tcPr>
            <w:tcW w:w="3442" w:type="dxa"/>
            <w:shd w:val="clear" w:color="auto" w:fill="F5F8F7"/>
          </w:tcPr>
          <w:p>
            <w:pPr>
              <w:pStyle w:val="TableCell"/>
            </w:pPr>
            <w:r>
              <w:t xml:space="preserve">Open the PDF yourself to confirm it is readable, then ask for help.</w:t>
            </w:r>
          </w:p>
        </w:tc>
      </w:tr>
    </w:tbl>
    <w:p>
      <w:pPr>
        <w:pStyle w:val="Spacer"/>
      </w:pPr>
    </w:p>
    <w:p>
      <w:pPr>
        <w:pStyle w:val="Heading1"/>
      </w:pPr>
      <w:r>
        <w:t xml:space="preserve">05   Using the dashboard</w:t>
      </w:r>
    </w:p>
    <w:p>
      <w:pPr>
        <w:pStyle w:val="Kicker"/>
      </w:pPr>
      <w:r>
        <w:t xml:space="preserve">Power BI  ·  six pages</w:t>
      </w:r>
    </w:p>
    <w:p>
      <w:r>
        <w:t xml:space="preserve">Open </w:t>
      </w:r>
      <w:r>
        <w:rPr>
          <w:rStyle w:val="CodeChar"/>
        </w:rPr>
        <w:t xml:space="preserve">reports\EPAL_Licencas_Dashboard\EPAL_Licencas_Dashboard.pbip</w:t>
      </w:r>
      <w:r>
        <w:t xml:space="preserve"> and press </w:t>
      </w:r>
      <w:r>
        <w:rPr>
          <w:b/>
        </w:rPr>
        <w:t xml:space="preserve">Refresh</w:t>
      </w:r>
      <w:r>
        <w:t xml:space="preserve"> whenever you want current numbers. The dashboard never updates by itself.</w:t>
      </w:r>
    </w:p>
    <w:p>
      <w:pPr>
        <w:pStyle w:val="Heading2"/>
      </w:pPr>
      <w:r>
        <w:t xml:space="preserve">Opening the original PDF</w:t>
      </w:r>
    </w:p>
    <w:p>
      <w:r>
        <w:t xml:space="preserve">On the </w:t>
      </w:r>
      <w:r>
        <w:rPr>
          <w:b/>
        </w:rPr>
        <w:t xml:space="preserve">Geral</w:t>
      </w:r>
      <w:r>
        <w:t xml:space="preserve"> page there is a button marked </w:t>
      </w:r>
      <w:r>
        <w:rPr>
          <w:b/>
        </w:rPr>
        <w:t xml:space="preserve">Abrir licença</w:t>
      </w:r>
      <w:r>
        <w:t xml:space="preserve">. Select exactly one licence first — click a row in the table at the bottom left, and check the </w:t>
      </w:r>
      <w:r>
        <w:rPr>
          <w:b/>
        </w:rPr>
        <w:t xml:space="preserve">Total de licenças</w:t>
      </w:r>
      <w:r>
        <w:t xml:space="preserve"> tile shows </w:t>
      </w:r>
      <w:r>
        <w:rPr>
          <w:b/>
        </w:rPr>
        <w:t xml:space="preserve">1</w:t>
      </w:r>
      <w:r>
        <w:t xml:space="preserve">. Then hold </w:t>
      </w:r>
      <w:r>
        <w:rPr>
          <w:b/>
        </w:rPr>
        <w:t xml:space="preserve">Ctrl</w:t>
      </w:r>
      <w:r>
        <w:t xml:space="preserve"> and click the button.</w:t>
      </w:r>
    </w:p>
    <w:p>
      <w:r>
        <w:t xml:space="preserve">The button greys itself out when nothing is selected, or when several licences are, because “open the licence” has no meaning for three at once.</w:t>
      </w:r>
    </w:p>
    <w:p>
      <w:pPr>
        <w:pStyle w:val="NoteLabel"/>
        <w:pBdr>
          <w:left w:val="single" w:sz="18" w:space="8" w:color="9A6212"/>
        </w:pBdr>
        <w:shd w:val="clear" w:color="auto" w:fill="FBF3E4"/>
        <w:ind w:left="170" w:right="170"/>
        <w:spacing w:before="240" w:after="20"/>
      </w:pPr>
      <w:r>
        <w:t xml:space="preserve">This button needs one extra thing today</w:t>
      </w:r>
    </w:p>
    <w:p>
      <w:pPr>
        <w:pStyle w:val="NoteBody"/>
        <w:pBdr>
          <w:left w:val="single" w:sz="18" w:space="8" w:color="9A6212"/>
        </w:pBdr>
        <w:shd w:val="clear" w:color="auto" w:fill="FBF3E4"/>
        <w:ind w:left="170" w:right="170"/>
        <w:spacing w:after="100"/>
      </w:pPr>
      <w:r>
        <w:t xml:space="preserve">Power BI can only open web addresses, not files on a disk. Until the archive is reachable over the network, the PDFs are served by a small helper: double-click </w:t>
      </w:r>
      <w:r>
        <w:rPr>
          <w:rStyle w:val="CodeChar"/>
        </w:rPr>
        <w:t xml:space="preserve">SERVIDOR_PDFS.bat</w:t>
      </w:r>
      <w:r>
        <w:t xml:space="preserve"> and leave that window open while you use the dashboard. Close it and the button stops opening PDFs.</w:t>
      </w:r>
    </w:p>
    <w:p>
      <w:pPr>
        <w:pStyle w:val="NoteBody"/>
        <w:pBdr>
          <w:left w:val="single" w:sz="18" w:space="8" w:color="9A6212"/>
        </w:pBdr>
        <w:shd w:val="clear" w:color="auto" w:fill="FBF3E4"/>
        <w:ind w:left="170" w:right="170"/>
        <w:spacing w:after="240"/>
      </w:pPr>
      <w:r>
        <w:t xml:space="preserve">This is temporary. Once the archive sits on SharePoint the helper is no longer needed — the person maintaining the system changes one line and it works for everybody, including in a published report.</w:t>
      </w:r>
    </w:p>
    <w:p>
      <w:pPr>
        <w:pStyle w:val="Heading2"/>
      </w:pPr>
      <w:r>
        <w:t xml:space="preserve">Numbers worth knowing</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442"/>
        <w:gridCol w:w="1376"/>
        <w:gridCol w:w="4819"/>
      </w:tblGrid>
      <w:tr>
        <w:trPr>
          <w:tblHeader/>
        </w:trPr>
        <w:tc>
          <w:tcPr>
            <w:tcW w:w="3442" w:type="dxa"/>
            <w:shd w:val="clear" w:color="auto" w:fill="0E5C57"/>
          </w:tcPr>
          <w:p>
            <w:pPr>
              <w:pStyle w:val="TableHead"/>
            </w:pPr>
            <w:r>
              <w:t xml:space="preserve">Figure</w:t>
            </w:r>
          </w:p>
        </w:tc>
        <w:tc>
          <w:tcPr>
            <w:tcW w:w="1376" w:type="dxa"/>
            <w:shd w:val="clear" w:color="auto" w:fill="0E5C57"/>
          </w:tcPr>
          <w:p>
            <w:pPr>
              <w:pStyle w:val="TableHead"/>
            </w:pPr>
            <w:r>
              <w:t xml:space="preserve">Today</w:t>
            </w:r>
          </w:p>
        </w:tc>
        <w:tc>
          <w:tcPr>
            <w:tcW w:w="4819" w:type="dxa"/>
            <w:shd w:val="clear" w:color="auto" w:fill="0E5C57"/>
          </w:tcPr>
          <w:p>
            <w:pPr>
              <w:pStyle w:val="TableHead"/>
            </w:pPr>
            <w:r>
              <w:t xml:space="preserve">What it counts</w:t>
            </w:r>
          </w:p>
        </w:tc>
      </w:tr>
      <w:tr>
        <w:tc>
          <w:tcPr>
            <w:tcW w:w="3442" w:type="dxa"/>
          </w:tcPr>
          <w:p>
            <w:pPr>
              <w:pStyle w:val="TableCell"/>
            </w:pPr>
            <w:r>
              <w:t xml:space="preserve">Licences in the dashboard</w:t>
            </w:r>
          </w:p>
        </w:tc>
        <w:tc>
          <w:tcPr>
            <w:tcW w:w="1376" w:type="dxa"/>
          </w:tcPr>
          <w:p>
            <w:pPr>
              <w:pStyle w:val="TableCell"/>
            </w:pPr>
            <w:r>
              <w:rPr>
                <w:b/>
              </w:rPr>
              <w:t xml:space="preserve">700</w:t>
            </w:r>
          </w:p>
        </w:tc>
        <w:tc>
          <w:tcPr>
            <w:tcW w:w="4819" w:type="dxa"/>
          </w:tcPr>
          <w:p>
            <w:pPr>
              <w:pStyle w:val="TableCell"/>
            </w:pPr>
            <w:r>
              <w:t xml:space="preserve">266 TUA + 434 LURH, each counted once</w:t>
            </w:r>
          </w:p>
        </w:tc>
      </w:tr>
      <w:tr>
        <w:tc>
          <w:tcPr>
            <w:tcW w:w="3442" w:type="dxa"/>
            <w:shd w:val="clear" w:color="auto" w:fill="F5F8F7"/>
          </w:tcPr>
          <w:p>
            <w:pPr>
              <w:pStyle w:val="TableCell"/>
            </w:pPr>
            <w:r>
              <w:t xml:space="preserve">Treatment plants</w:t>
            </w:r>
          </w:p>
        </w:tc>
        <w:tc>
          <w:tcPr>
            <w:tcW w:w="1376" w:type="dxa"/>
            <w:shd w:val="clear" w:color="auto" w:fill="F5F8F7"/>
          </w:tcPr>
          <w:p>
            <w:pPr>
              <w:pStyle w:val="TableCell"/>
            </w:pPr>
            <w:r>
              <w:rPr>
                <w:b/>
              </w:rPr>
              <w:t xml:space="preserve">400</w:t>
            </w:r>
          </w:p>
        </w:tc>
        <w:tc>
          <w:tcPr>
            <w:tcW w:w="4819" w:type="dxa"/>
            <w:shd w:val="clear" w:color="auto" w:fill="F5F8F7"/>
          </w:tcPr>
          <w:p>
            <w:pPr>
              <w:pStyle w:val="TableCell"/>
            </w:pPr>
            <w:r>
              <w:t xml:space="preserve">Identified by asset code, not by name</w:t>
            </w:r>
          </w:p>
        </w:tc>
      </w:tr>
      <w:tr>
        <w:tc>
          <w:tcPr>
            <w:tcW w:w="3442" w:type="dxa"/>
          </w:tcPr>
          <w:p>
            <w:pPr>
              <w:pStyle w:val="TableCell"/>
            </w:pPr>
            <w:r>
              <w:t xml:space="preserve">Plants holding both regimes</w:t>
            </w:r>
          </w:p>
        </w:tc>
        <w:tc>
          <w:tcPr>
            <w:tcW w:w="1376" w:type="dxa"/>
          </w:tcPr>
          <w:p>
            <w:pPr>
              <w:pStyle w:val="TableCell"/>
            </w:pPr>
            <w:r>
              <w:rPr>
                <w:b/>
              </w:rPr>
              <w:t xml:space="preserve">227</w:t>
            </w:r>
          </w:p>
        </w:tc>
        <w:tc>
          <w:tcPr>
            <w:tcW w:w="4819" w:type="dxa"/>
          </w:tcPr>
          <w:p>
            <w:pPr>
              <w:pStyle w:val="TableCell"/>
            </w:pPr>
            <w:r>
              <w:t xml:space="preserve">Usually an expired LURH replaced by a current TUA</w:t>
            </w:r>
          </w:p>
        </w:tc>
      </w:tr>
      <w:tr>
        <w:tc>
          <w:tcPr>
            <w:tcW w:w="3442" w:type="dxa"/>
            <w:shd w:val="clear" w:color="auto" w:fill="F5F8F7"/>
          </w:tcPr>
          <w:p>
            <w:pPr>
              <w:pStyle w:val="TableCell"/>
            </w:pPr>
            <w:r>
              <w:t xml:space="preserve">Plants with nothing in force</w:t>
            </w:r>
          </w:p>
        </w:tc>
        <w:tc>
          <w:tcPr>
            <w:tcW w:w="1376" w:type="dxa"/>
            <w:shd w:val="clear" w:color="auto" w:fill="F5F8F7"/>
          </w:tcPr>
          <w:p>
            <w:pPr>
              <w:pStyle w:val="TableCell"/>
            </w:pPr>
            <w:r>
              <w:rPr>
                <w:b/>
              </w:rPr>
              <w:t xml:space="preserve">52</w:t>
            </w:r>
          </w:p>
        </w:tc>
        <w:tc>
          <w:tcPr>
            <w:tcW w:w="4819" w:type="dxa"/>
            <w:shd w:val="clear" w:color="auto" w:fill="F5F8F7"/>
          </w:tcPr>
          <w:p>
            <w:pPr>
              <w:pStyle w:val="TableCell"/>
            </w:pPr>
            <w:r>
              <w:t xml:space="preserve">The number worth acting on</w:t>
            </w:r>
          </w:p>
        </w:tc>
      </w:tr>
      <w:tr>
        <w:tc>
          <w:tcPr>
            <w:tcW w:w="3442" w:type="dxa"/>
          </w:tcPr>
          <w:p>
            <w:pPr>
              <w:pStyle w:val="TableCell"/>
            </w:pPr>
            <w:r>
              <w:t xml:space="preserve">PDFs in the archive</w:t>
            </w:r>
          </w:p>
        </w:tc>
        <w:tc>
          <w:tcPr>
            <w:tcW w:w="1376" w:type="dxa"/>
          </w:tcPr>
          <w:p>
            <w:pPr>
              <w:pStyle w:val="TableCell"/>
            </w:pPr>
            <w:r>
              <w:rPr>
                <w:b/>
              </w:rPr>
              <w:t xml:space="preserve">1,023</w:t>
            </w:r>
          </w:p>
        </w:tc>
        <w:tc>
          <w:tcPr>
            <w:tcW w:w="4819" w:type="dxa"/>
          </w:tcPr>
          <w:p>
            <w:pPr>
              <w:pStyle w:val="TableCell"/>
            </w:pPr>
            <w:r>
              <w:t xml:space="preserve">More than 700 because older copies are kept</w:t>
            </w:r>
          </w:p>
        </w:tc>
      </w:tr>
    </w:tbl>
    <w:p>
      <w:pPr>
        <w:pStyle w:val="Spacer"/>
      </w:pPr>
    </w:p>
    <w:p>
      <w:r>
        <w:t xml:space="preserve">If the dashboard total and the master workbook ever disagree, that is a real signal — see section 07, Regular maintenance.</w:t>
      </w:r>
    </w:p>
    <w:p>
      <w:pPr>
        <w:pStyle w:val="Heading1"/>
      </w:pPr>
      <w:r>
        <w:t xml:space="preserve">06   Who does what</w:t>
      </w:r>
    </w:p>
    <w:p>
      <w:pPr>
        <w:pStyle w:val="Kicker"/>
      </w:pPr>
      <w:r>
        <w:t xml:space="preserve">Agree this once, as a team</w:t>
      </w:r>
    </w:p>
    <w:p>
      <w:r>
        <w:t xml:space="preserve">Most of the system is safe for anybody to use. Three things need a named owner, because doing them twice causes damage.</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212"/>
        <w:gridCol w:w="1927"/>
        <w:gridCol w:w="4497"/>
      </w:tblGrid>
      <w:tr>
        <w:trPr>
          <w:tblHeader/>
        </w:trPr>
        <w:tc>
          <w:tcPr>
            <w:tcW w:w="3212" w:type="dxa"/>
            <w:shd w:val="clear" w:color="auto" w:fill="0E5C57"/>
          </w:tcPr>
          <w:p>
            <w:pPr>
              <w:pStyle w:val="TableHead"/>
            </w:pPr>
            <w:r>
              <w:t xml:space="preserve">Task</w:t>
            </w:r>
          </w:p>
        </w:tc>
        <w:tc>
          <w:tcPr>
            <w:tcW w:w="1927" w:type="dxa"/>
            <w:shd w:val="clear" w:color="auto" w:fill="0E5C57"/>
          </w:tcPr>
          <w:p>
            <w:pPr>
              <w:pStyle w:val="TableHead"/>
            </w:pPr>
            <w:r>
              <w:t xml:space="preserve">Who</w:t>
            </w:r>
          </w:p>
        </w:tc>
        <w:tc>
          <w:tcPr>
            <w:tcW w:w="4497" w:type="dxa"/>
            <w:shd w:val="clear" w:color="auto" w:fill="0E5C57"/>
          </w:tcPr>
          <w:p>
            <w:pPr>
              <w:pStyle w:val="TableHead"/>
            </w:pPr>
            <w:r>
              <w:t xml:space="preserve">Why it needs an owner</w:t>
            </w:r>
          </w:p>
        </w:tc>
      </w:tr>
      <w:tr>
        <w:tc>
          <w:tcPr>
            <w:tcW w:w="3212" w:type="dxa"/>
          </w:tcPr>
          <w:p>
            <w:pPr>
              <w:pStyle w:val="TableCell"/>
            </w:pPr>
            <w:r>
              <w:t xml:space="preserve">Adding licences, reading the dashboard</w:t>
            </w:r>
          </w:p>
        </w:tc>
        <w:tc>
          <w:tcPr>
            <w:tcW w:w="1927" w:type="dxa"/>
          </w:tcPr>
          <w:p>
            <w:pPr>
              <w:pStyle w:val="TableCell"/>
            </w:pPr>
            <w:r>
              <w:rPr>
                <w:b/>
                <w:color w:val="2D6647"/>
              </w:rPr>
              <w:t xml:space="preserve">Anyone</w:t>
            </w:r>
          </w:p>
        </w:tc>
        <w:tc>
          <w:tcPr>
            <w:tcW w:w="4497" w:type="dxa"/>
          </w:tcPr>
          <w:p>
            <w:pPr>
              <w:pStyle w:val="TableCell"/>
            </w:pPr>
            <w:r>
              <w:t xml:space="preserve">Protected against clashes automatically.</w:t>
            </w:r>
          </w:p>
        </w:tc>
      </w:tr>
      <w:tr>
        <w:tc>
          <w:tcPr>
            <w:tcW w:w="3212" w:type="dxa"/>
            <w:shd w:val="clear" w:color="auto" w:fill="F5F8F7"/>
          </w:tcPr>
          <w:p>
            <w:pPr>
              <w:pStyle w:val="TableCell"/>
            </w:pPr>
            <w:r>
              <w:t xml:space="preserve">The automatic watcher </w:t>
            </w:r>
            <w:r>
              <w:rPr>
                <w:rStyle w:val="CodeChar"/>
              </w:rPr>
              <w:t xml:space="preserve">(register_watch_task.bat)</w:t>
            </w:r>
          </w:p>
        </w:tc>
        <w:tc>
          <w:tcPr>
            <w:tcW w:w="1927" w:type="dxa"/>
            <w:shd w:val="clear" w:color="auto" w:fill="F5F8F7"/>
          </w:tcPr>
          <w:p>
            <w:pPr>
              <w:pStyle w:val="TableCell"/>
            </w:pPr>
            <w:r>
              <w:rPr>
                <w:b/>
                <w:color w:val="9E3226"/>
              </w:rPr>
              <w:t xml:space="preserve">One laptop only</w:t>
            </w:r>
          </w:p>
        </w:tc>
        <w:tc>
          <w:tcPr>
            <w:tcW w:w="4497" w:type="dxa"/>
            <w:shd w:val="clear" w:color="auto" w:fill="F5F8F7"/>
          </w:tcPr>
          <w:p>
            <w:pPr>
              <w:pStyle w:val="TableCell"/>
            </w:pPr>
            <w:r>
              <w:t xml:space="preserve">It processes the inboxes by itself. Two laptops doing that can corrupt the master workbooks. Pick one machine that is usually on.</w:t>
            </w:r>
          </w:p>
        </w:tc>
      </w:tr>
      <w:tr>
        <w:tc>
          <w:tcPr>
            <w:tcW w:w="3212" w:type="dxa"/>
          </w:tcPr>
          <w:p>
            <w:pPr>
              <w:pStyle w:val="TableCell"/>
            </w:pPr>
            <w:r>
              <w:t xml:space="preserve">Reinstalling the portable Python</w:t>
            </w:r>
          </w:p>
        </w:tc>
        <w:tc>
          <w:tcPr>
            <w:tcW w:w="1927" w:type="dxa"/>
          </w:tcPr>
          <w:p>
            <w:pPr>
              <w:pStyle w:val="TableCell"/>
            </w:pPr>
            <w:r>
              <w:rPr>
                <w:b/>
                <w:color w:val="9A6212"/>
              </w:rPr>
              <w:t xml:space="preserve">One person</w:t>
            </w:r>
          </w:p>
        </w:tc>
        <w:tc>
          <w:tcPr>
            <w:tcW w:w="4497" w:type="dxa"/>
          </w:tcPr>
          <w:p>
            <w:pPr>
              <w:pStyle w:val="TableCell"/>
            </w:pPr>
            <w:r>
              <w:t xml:space="preserve">Downloads about 150 MB into the shared folder. Only needed once, ever.</w:t>
            </w:r>
          </w:p>
        </w:tc>
      </w:tr>
      <w:tr>
        <w:tc>
          <w:tcPr>
            <w:tcW w:w="3212" w:type="dxa"/>
            <w:shd w:val="clear" w:color="auto" w:fill="F5F8F7"/>
          </w:tcPr>
          <w:p>
            <w:pPr>
              <w:pStyle w:val="TableCell"/>
            </w:pPr>
            <w:r>
              <w:t xml:space="preserve">Editing the dashboard layout</w:t>
            </w:r>
          </w:p>
        </w:tc>
        <w:tc>
          <w:tcPr>
            <w:tcW w:w="1927" w:type="dxa"/>
            <w:shd w:val="clear" w:color="auto" w:fill="F5F8F7"/>
          </w:tcPr>
          <w:p>
            <w:pPr>
              <w:pStyle w:val="TableCell"/>
            </w:pPr>
            <w:r>
              <w:rPr>
                <w:b/>
                <w:color w:val="9A6212"/>
              </w:rPr>
              <w:t xml:space="preserve">One person at a time</w:t>
            </w:r>
          </w:p>
        </w:tc>
        <w:tc>
          <w:tcPr>
            <w:tcW w:w="4497" w:type="dxa"/>
            <w:shd w:val="clear" w:color="auto" w:fill="F5F8F7"/>
          </w:tcPr>
          <w:p>
            <w:pPr>
              <w:pStyle w:val="TableCell"/>
            </w:pPr>
            <w:r>
              <w:t xml:space="preserve">Power BI saves the whole page. Two people editing means one silently loses their work.</w:t>
            </w:r>
          </w:p>
        </w:tc>
      </w:tr>
    </w:tbl>
    <w:p>
      <w:pPr>
        <w:pStyle w:val="Spacer"/>
      </w:pPr>
    </w:p>
    <w:p>
      <w:pPr>
        <w:pStyle w:val="Heading1"/>
      </w:pPr>
      <w:r>
        <w:t xml:space="preserve">07   Regular maintenance</w:t>
      </w:r>
    </w:p>
    <w:p>
      <w:pPr>
        <w:pStyle w:val="Kicker"/>
      </w:pPr>
      <w:r>
        <w:t xml:space="preserve">Four checks  ·  none takes more than a minute</w:t>
      </w:r>
    </w:p>
    <w:p>
      <w:r>
        <w:t xml:space="preserve">These are health checks. Each one prints a plain answer and changes nothing, so they are safe to run whenever you are unsure.</w:t>
      </w:r>
    </w:p>
    <w:p>
      <w:pPr>
        <w:pStyle w:val="Heading2"/>
      </w:pPr>
      <w:r>
        <w:t xml:space="preserve">Every month</w:t>
      </w:r>
    </w:p>
    <w:p>
      <w:r>
        <w:t xml:space="preserve">Does the dashboard hold every licence in the archive?</w:t>
      </w:r>
    </w:p>
    <w:p>
      <w:pPr>
        <w:pStyle w:val="CodeBlock"/>
        <w:shd w:val="clear" w:color="auto" w:fill="EDF2F1"/>
        <w:spacing w:before="120" w:after="160"/>
      </w:pPr>
      <w:r>
        <w:t xml:space="preserve">runtime\python\python.exe src\_verificar_cobertura.py</w:t>
      </w:r>
    </w:p>
    <w:p>
      <w:r>
        <w:t xml:space="preserve">Which licences are missing information?</w:t>
      </w:r>
    </w:p>
    <w:p>
      <w:pPr>
        <w:pStyle w:val="CodeBlock"/>
        <w:shd w:val="clear" w:color="auto" w:fill="EDF2F1"/>
        <w:spacing w:before="120" w:after="160"/>
      </w:pPr>
      <w:r>
        <w:t xml:space="preserve">runtime\python\python.exe src\Common_Code_PowerBI\missing_data_report.py</w:t>
      </w:r>
    </w:p>
    <w:p>
      <w:r>
        <w:t xml:space="preserve">The second writes an Excel file to </w:t>
      </w:r>
      <w:r>
        <w:rPr>
          <w:rStyle w:val="CodeChar"/>
        </w:rPr>
        <w:t xml:space="preserve">outputs\reports\</w:t>
      </w:r>
      <w:r>
        <w:t xml:space="preserve"> listing exactly which licences are missing which fields.</w:t>
      </w:r>
    </w:p>
    <w:p>
      <w:pPr>
        <w:pStyle w:val="Heading2"/>
      </w:pPr>
      <w:r>
        <w:t xml:space="preserve">If the dashboard total looks wrong</w:t>
      </w:r>
    </w:p>
    <w:p>
      <w:r>
        <w:t xml:space="preserve">The dashboard and the master workbook are built from different places and can drift apart. This finds and fixes it:</w:t>
      </w:r>
    </w:p>
    <w:p>
      <w:r>
        <w:t xml:space="preserve">Show what is missing (changes nothing):</w:t>
      </w:r>
    </w:p>
    <w:p>
      <w:pPr>
        <w:pStyle w:val="CodeBlock"/>
        <w:shd w:val="clear" w:color="auto" w:fill="EDF2F1"/>
        <w:spacing w:before="120" w:after="160"/>
      </w:pPr>
      <w:r>
        <w:t xml:space="preserve">runtime\python\python.exe src\Extraction_Code_LURH\sync_master_com_json.py</w:t>
      </w:r>
    </w:p>
    <w:p>
      <w:r>
        <w:t xml:space="preserve">Actually add it:</w:t>
      </w:r>
    </w:p>
    <w:p>
      <w:pPr>
        <w:pStyle w:val="CodeBlock"/>
        <w:shd w:val="clear" w:color="auto" w:fill="EDF2F1"/>
        <w:spacing w:before="120" w:after="160"/>
      </w:pPr>
      <w:r>
        <w:t xml:space="preserve">runtime\python\python.exe src\Extraction_Code_LURH\sync_master_com_json.py --aplicar</w:t>
      </w:r>
    </w:p>
    <w:p>
      <w:r>
        <w:t xml:space="preserve">Then rebuild the dashboard data:</w:t>
      </w:r>
    </w:p>
    <w:p>
      <w:pPr>
        <w:pStyle w:val="CodeBlock"/>
        <w:shd w:val="clear" w:color="auto" w:fill="EDF2F1"/>
        <w:spacing w:before="120" w:after="160"/>
      </w:pPr>
      <w:r>
        <w:t xml:space="preserve">runtime\python\python.exe src\Common_Code_PowerBI\make_powerbi_all.py</w:t>
      </w:r>
    </w:p>
    <w:p>
      <w:pPr>
        <w:pStyle w:val="Heading2"/>
      </w:pPr>
      <w:r>
        <w:t xml:space="preserve">Before sharing the dashboard with anyone new</w:t>
      </w:r>
    </w:p>
    <w:p>
      <w:pPr>
        <w:pStyle w:val="CodeBlock"/>
        <w:shd w:val="clear" w:color="auto" w:fill="EDF2F1"/>
        <w:spacing w:before="120" w:after="160"/>
      </w:pPr>
      <w:r>
        <w:t xml:space="preserve">runtime\python\python.exe reports\validate_project.py</w:t>
      </w:r>
    </w:p>
    <w:p>
      <w:r>
        <w:t xml:space="preserve">It confirms the dashboard file is not damaged. It must end with </w:t>
      </w:r>
      <w:r>
        <w:rPr>
          <w:i/>
        </w:rPr>
        <w:t xml:space="preserve">tudo válido</w:t>
      </w:r>
      <w:r>
        <w:t xml:space="preserve">.</w:t>
      </w:r>
    </w:p>
    <w:p>
      <w:pPr>
        <w:pStyle w:val="NoteLabel"/>
        <w:pBdr>
          <w:left w:val="single" w:sz="18" w:space="8" w:color="0E5C57"/>
        </w:pBdr>
        <w:shd w:val="clear" w:color="auto" w:fill="EDF3F2"/>
        <w:ind w:left="170" w:right="170"/>
        <w:spacing w:before="240" w:after="20"/>
      </w:pPr>
      <w:r>
        <w:t xml:space="preserve">Backups</w:t>
      </w:r>
    </w:p>
    <w:p>
      <w:pPr>
        <w:pStyle w:val="NoteBody"/>
        <w:pBdr>
          <w:left w:val="single" w:sz="18" w:space="8" w:color="0E5C57"/>
        </w:pBdr>
        <w:shd w:val="clear" w:color="auto" w:fill="EDF3F2"/>
        <w:ind w:left="170" w:right="170"/>
        <w:spacing w:after="240"/>
      </w:pPr>
      <w:r>
        <w:t xml:space="preserve">The master workbook is copied to </w:t>
      </w:r>
      <w:r>
        <w:rPr>
          <w:rStyle w:val="CodeChar"/>
        </w:rPr>
        <w:t xml:space="preserve">master_….bak.xlsx</w:t>
      </w:r>
      <w:r>
        <w:t xml:space="preserve"> before every change, and SharePoint keeps its own version history. To undo a bad run, restore the </w:t>
      </w:r>
      <w:r>
        <w:rPr>
          <w:rStyle w:val="CodeChar"/>
        </w:rPr>
        <w:t xml:space="preserve">.bak</w:t>
      </w:r>
      <w:r>
        <w:t xml:space="preserve"> file — or use </w:t>
      </w:r>
      <w:r>
        <w:rPr>
          <w:i/>
        </w:rPr>
        <w:t xml:space="preserve">Version history</w:t>
      </w:r>
      <w:r>
        <w:t xml:space="preserve"> in SharePoint, which goes back much further.</w:t>
      </w:r>
    </w:p>
    <w:p>
      <w:pPr>
        <w:pStyle w:val="Heading1"/>
      </w:pPr>
      <w:r>
        <w:t xml:space="preserve">08   When something goes wrong</w:t>
      </w:r>
    </w:p>
    <w:p>
      <w:pPr>
        <w:pStyle w:val="Kicker"/>
      </w:pPr>
      <w:r>
        <w:t xml:space="preserve">Symptom → cause → fix</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011"/>
        <w:gridCol w:w="3011"/>
        <w:gridCol w:w="3614"/>
      </w:tblGrid>
      <w:tr>
        <w:trPr>
          <w:tblHeader/>
        </w:trPr>
        <w:tc>
          <w:tcPr>
            <w:tcW w:w="3011" w:type="dxa"/>
            <w:shd w:val="clear" w:color="auto" w:fill="0E5C57"/>
          </w:tcPr>
          <w:p>
            <w:pPr>
              <w:pStyle w:val="TableHead"/>
            </w:pPr>
            <w:r>
              <w:t xml:space="preserve">What you see</w:t>
            </w:r>
          </w:p>
        </w:tc>
        <w:tc>
          <w:tcPr>
            <w:tcW w:w="3011" w:type="dxa"/>
            <w:shd w:val="clear" w:color="auto" w:fill="0E5C57"/>
          </w:tcPr>
          <w:p>
            <w:pPr>
              <w:pStyle w:val="TableHead"/>
            </w:pPr>
            <w:r>
              <w:t xml:space="preserve">What it usually means</w:t>
            </w:r>
          </w:p>
        </w:tc>
        <w:tc>
          <w:tcPr>
            <w:tcW w:w="3614" w:type="dxa"/>
            <w:shd w:val="clear" w:color="auto" w:fill="0E5C57"/>
          </w:tcPr>
          <w:p>
            <w:pPr>
              <w:pStyle w:val="TableHead"/>
            </w:pPr>
            <w:r>
              <w:t xml:space="preserve">What to do</w:t>
            </w:r>
          </w:p>
        </w:tc>
      </w:tr>
      <w:tr>
        <w:tc>
          <w:tcPr>
            <w:tcW w:w="3011" w:type="dxa"/>
          </w:tcPr>
          <w:p>
            <w:pPr>
              <w:pStyle w:val="TableCell"/>
            </w:pPr>
            <w:r>
              <w:rPr>
                <w:rStyle w:val="CodeChar"/>
              </w:rPr>
              <w:t xml:space="preserve">NÃO FOI ENCONTRADO NENHUM PYTHON</w:t>
            </w:r>
          </w:p>
        </w:tc>
        <w:tc>
          <w:tcPr>
            <w:tcW w:w="3011" w:type="dxa"/>
          </w:tcPr>
          <w:p>
            <w:pPr>
              <w:pStyle w:val="TableCell"/>
            </w:pPr>
            <w:r>
              <w:t xml:space="preserve">The folder has not finished syncing, or OneDrive emptied the files to save space</w:t>
            </w:r>
          </w:p>
        </w:tc>
        <w:tc>
          <w:tcPr>
            <w:tcW w:w="3614" w:type="dxa"/>
          </w:tcPr>
          <w:p>
            <w:pPr>
              <w:pStyle w:val="TableCell"/>
            </w:pPr>
            <w:r>
              <w:t xml:space="preserve">Wait for the green tick, then run </w:t>
            </w:r>
            <w:r>
              <w:rPr>
                <w:rStyle w:val="CodeChar"/>
              </w:rPr>
              <w:t xml:space="preserve">CONFIGURAR_ESTE_PC.bat</w:t>
            </w:r>
            <w:r>
              <w:t xml:space="preserve"> again — it pins the files so this stops happening.</w:t>
            </w:r>
          </w:p>
        </w:tc>
      </w:tr>
      <w:tr>
        <w:tc>
          <w:tcPr>
            <w:tcW w:w="3011" w:type="dxa"/>
            <w:shd w:val="clear" w:color="auto" w:fill="F5F8F7"/>
          </w:tcPr>
          <w:p>
            <w:pPr>
              <w:pStyle w:val="TableCell"/>
            </w:pPr>
            <w:r>
              <w:t xml:space="preserve">Power BI: cannot find the data source</w:t>
            </w:r>
          </w:p>
        </w:tc>
        <w:tc>
          <w:tcPr>
            <w:tcW w:w="3011" w:type="dxa"/>
            <w:shd w:val="clear" w:color="auto" w:fill="F5F8F7"/>
          </w:tcPr>
          <w:p>
            <w:pPr>
              <w:pStyle w:val="TableCell"/>
            </w:pPr>
            <w:r>
              <w:t xml:space="preserve">The dashboard is pointing at another laptop’s folder</w:t>
            </w:r>
          </w:p>
        </w:tc>
        <w:tc>
          <w:tcPr>
            <w:tcW w:w="3614" w:type="dxa"/>
            <w:shd w:val="clear" w:color="auto" w:fill="F5F8F7"/>
          </w:tcPr>
          <w:p>
            <w:pPr>
              <w:pStyle w:val="TableCell"/>
            </w:pPr>
            <w:r>
              <w:t xml:space="preserve">Close Power BI, double-click </w:t>
            </w:r>
            <w:r>
              <w:rPr>
                <w:rStyle w:val="CodeChar"/>
              </w:rPr>
              <w:t xml:space="preserve">ATUALIZAR_POWERBI.bat</w:t>
            </w:r>
            <w:r>
              <w:t xml:space="preserve">, reopen.</w:t>
            </w:r>
          </w:p>
        </w:tc>
      </w:tr>
      <w:tr>
        <w:tc>
          <w:tcPr>
            <w:tcW w:w="3011" w:type="dxa"/>
          </w:tcPr>
          <w:p>
            <w:pPr>
              <w:pStyle w:val="TableCell"/>
            </w:pPr>
            <w:r>
              <w:t xml:space="preserve">The run stops and names a colleague</w:t>
            </w:r>
          </w:p>
        </w:tc>
        <w:tc>
          <w:tcPr>
            <w:tcW w:w="3011" w:type="dxa"/>
          </w:tcPr>
          <w:p>
            <w:pPr>
              <w:pStyle w:val="TableCell"/>
            </w:pPr>
            <w:r>
              <w:t xml:space="preserve">Somebody else is running an extraction right now</w:t>
            </w:r>
          </w:p>
        </w:tc>
        <w:tc>
          <w:tcPr>
            <w:tcW w:w="3614" w:type="dxa"/>
          </w:tcPr>
          <w:p>
            <w:pPr>
              <w:pStyle w:val="TableCell"/>
            </w:pPr>
            <w:r>
              <w:t xml:space="preserve">Correct behaviour. Wait, then run it again.</w:t>
            </w:r>
          </w:p>
        </w:tc>
      </w:tr>
      <w:tr>
        <w:tc>
          <w:tcPr>
            <w:tcW w:w="3011" w:type="dxa"/>
            <w:shd w:val="clear" w:color="auto" w:fill="F5F8F7"/>
          </w:tcPr>
          <w:p>
            <w:pPr>
              <w:pStyle w:val="TableCell"/>
            </w:pPr>
            <w:r>
              <w:t xml:space="preserve">“the master workbook is open/locked”</w:t>
            </w:r>
          </w:p>
        </w:tc>
        <w:tc>
          <w:tcPr>
            <w:tcW w:w="3011" w:type="dxa"/>
            <w:shd w:val="clear" w:color="auto" w:fill="F5F8F7"/>
          </w:tcPr>
          <w:p>
            <w:pPr>
              <w:pStyle w:val="TableCell"/>
            </w:pPr>
            <w:r>
              <w:t xml:space="preserve">The master is open in Excel</w:t>
            </w:r>
          </w:p>
        </w:tc>
        <w:tc>
          <w:tcPr>
            <w:tcW w:w="3614" w:type="dxa"/>
            <w:shd w:val="clear" w:color="auto" w:fill="F5F8F7"/>
          </w:tcPr>
          <w:p>
            <w:pPr>
              <w:pStyle w:val="TableCell"/>
            </w:pPr>
            <w:r>
              <w:t xml:space="preserve">Close Excel and run the button again. Nothing was lost — it is picked up automatically.</w:t>
            </w:r>
          </w:p>
        </w:tc>
      </w:tr>
      <w:tr>
        <w:tc>
          <w:tcPr>
            <w:tcW w:w="3011" w:type="dxa"/>
          </w:tcPr>
          <w:p>
            <w:pPr>
              <w:pStyle w:val="TableCell"/>
            </w:pPr>
            <w:r>
              <w:t xml:space="preserve">The dashboard shows old numbers</w:t>
            </w:r>
          </w:p>
        </w:tc>
        <w:tc>
          <w:tcPr>
            <w:tcW w:w="3011" w:type="dxa"/>
          </w:tcPr>
          <w:p>
            <w:pPr>
              <w:pStyle w:val="TableCell"/>
            </w:pPr>
            <w:r>
              <w:t xml:space="preserve">It has not been refreshed</w:t>
            </w:r>
          </w:p>
        </w:tc>
        <w:tc>
          <w:tcPr>
            <w:tcW w:w="3614" w:type="dxa"/>
          </w:tcPr>
          <w:p>
            <w:pPr>
              <w:pStyle w:val="TableCell"/>
            </w:pPr>
            <w:r>
              <w:t xml:space="preserve">Press </w:t>
            </w:r>
            <w:r>
              <w:rPr>
                <w:b/>
              </w:rPr>
              <w:t xml:space="preserve">Refresh</w:t>
            </w:r>
            <w:r>
              <w:t xml:space="preserve"> in Power BI.</w:t>
            </w:r>
          </w:p>
        </w:tc>
      </w:tr>
      <w:tr>
        <w:tc>
          <w:tcPr>
            <w:tcW w:w="3011" w:type="dxa"/>
            <w:shd w:val="clear" w:color="auto" w:fill="F5F8F7"/>
          </w:tcPr>
          <w:p>
            <w:pPr>
              <w:pStyle w:val="TableCell"/>
            </w:pPr>
            <w:r>
              <w:t xml:space="preserve">“Abrir licença” does nothing</w:t>
            </w:r>
          </w:p>
        </w:tc>
        <w:tc>
          <w:tcPr>
            <w:tcW w:w="3011" w:type="dxa"/>
            <w:shd w:val="clear" w:color="auto" w:fill="F5F8F7"/>
          </w:tcPr>
          <w:p>
            <w:pPr>
              <w:pStyle w:val="TableCell"/>
            </w:pPr>
            <w:r>
              <w:t xml:space="preserve">No licence selected, several selected, or the PDF helper is not running</w:t>
            </w:r>
          </w:p>
        </w:tc>
        <w:tc>
          <w:tcPr>
            <w:tcW w:w="3614" w:type="dxa"/>
            <w:shd w:val="clear" w:color="auto" w:fill="F5F8F7"/>
          </w:tcPr>
          <w:p>
            <w:pPr>
              <w:pStyle w:val="TableCell"/>
            </w:pPr>
            <w:r>
              <w:t xml:space="preserve">Select exactly one licence, check the total shows 1, and make sure </w:t>
            </w:r>
            <w:r>
              <w:rPr>
                <w:rStyle w:val="CodeChar"/>
              </w:rPr>
              <w:t xml:space="preserve">SERVIDOR_PDFS.bat</w:t>
            </w:r>
            <w:r>
              <w:t xml:space="preserve"> is open.</w:t>
            </w:r>
          </w:p>
        </w:tc>
      </w:tr>
      <w:tr>
        <w:tc>
          <w:tcPr>
            <w:tcW w:w="3011" w:type="dxa"/>
          </w:tcPr>
          <w:p>
            <w:pPr>
              <w:pStyle w:val="TableCell"/>
            </w:pPr>
            <w:r>
              <w:t xml:space="preserve">Files seem to be missing after a move</w:t>
            </w:r>
          </w:p>
        </w:tc>
        <w:tc>
          <w:tcPr>
            <w:tcW w:w="3011" w:type="dxa"/>
          </w:tcPr>
          <w:p>
            <w:pPr>
              <w:pStyle w:val="TableCell"/>
            </w:pPr>
            <w:r>
              <w:t xml:space="preserve">The folder path is too long — Windows silently skipped them</w:t>
            </w:r>
          </w:p>
        </w:tc>
        <w:tc>
          <w:tcPr>
            <w:tcW w:w="3614" w:type="dxa"/>
          </w:tcPr>
          <w:p>
            <w:pPr>
              <w:pStyle w:val="TableCell"/>
            </w:pPr>
            <w:r>
              <w:t xml:space="preserve">Run </w:t>
            </w:r>
            <w:r>
              <w:rPr>
                <w:rStyle w:val="CodeChar"/>
              </w:rPr>
              <w:t xml:space="preserve">src\_verificar_migracao.py</w:t>
            </w:r>
            <w:r>
              <w:t xml:space="preserve">. Re-add the folder with </w:t>
            </w:r>
            <w:r>
              <w:rPr>
                <w:i/>
              </w:rPr>
              <w:t xml:space="preserve">Add shortcut to OneDrive</w:t>
            </w:r>
            <w:r>
              <w:t xml:space="preserve">.</w:t>
            </w:r>
          </w:p>
        </w:tc>
      </w:tr>
      <w:tr>
        <w:tc>
          <w:tcPr>
            <w:tcW w:w="3011" w:type="dxa"/>
            <w:shd w:val="clear" w:color="auto" w:fill="F5F8F7"/>
          </w:tcPr>
          <w:p>
            <w:pPr>
              <w:pStyle w:val="TableCell"/>
            </w:pPr>
            <w:r>
              <w:rPr>
                <w:rStyle w:val="CodeChar"/>
              </w:rPr>
              <w:t xml:space="preserve">PermissionError: [Errno 13]</w:t>
            </w:r>
          </w:p>
        </w:tc>
        <w:tc>
          <w:tcPr>
            <w:tcW w:w="3011" w:type="dxa"/>
            <w:shd w:val="clear" w:color="auto" w:fill="F5F8F7"/>
          </w:tcPr>
          <w:p>
            <w:pPr>
              <w:pStyle w:val="TableCell"/>
            </w:pPr>
            <w:r>
              <w:t xml:space="preserve">Your account has the shared folder as </w:t>
            </w:r>
            <w:r>
              <w:rPr>
                <w:i/>
              </w:rPr>
              <w:t xml:space="preserve">read only</w:t>
            </w:r>
          </w:p>
        </w:tc>
        <w:tc>
          <w:tcPr>
            <w:tcW w:w="3614" w:type="dxa"/>
            <w:shd w:val="clear" w:color="auto" w:fill="F5F8F7"/>
          </w:tcPr>
          <w:p>
            <w:pPr>
              <w:pStyle w:val="TableCell"/>
            </w:pPr>
            <w:r>
              <w:t xml:space="preserve">No setting on your laptop fixes this. Ask whoever shared the folder to change your access to </w:t>
            </w:r>
            <w:r>
              <w:rPr>
                <w:b/>
              </w:rPr>
              <w:t xml:space="preserve">Can edit</w:t>
            </w:r>
            <w:r>
              <w:t xml:space="preserve">.</w:t>
            </w:r>
          </w:p>
        </w:tc>
      </w:tr>
      <w:tr>
        <w:tc>
          <w:tcPr>
            <w:tcW w:w="3011" w:type="dxa"/>
          </w:tcPr>
          <w:p>
            <w:pPr>
              <w:pStyle w:val="TableCell"/>
            </w:pPr>
            <w:r>
              <w:t xml:space="preserve">A button in the dashboard disappeared</w:t>
            </w:r>
          </w:p>
        </w:tc>
        <w:tc>
          <w:tcPr>
            <w:tcW w:w="3011" w:type="dxa"/>
          </w:tcPr>
          <w:p>
            <w:pPr>
              <w:pStyle w:val="TableCell"/>
            </w:pPr>
            <w:r>
              <w:t xml:space="preserve">Someone pressed undo and then saved</w:t>
            </w:r>
          </w:p>
        </w:tc>
        <w:tc>
          <w:tcPr>
            <w:tcW w:w="3614" w:type="dxa"/>
          </w:tcPr>
          <w:p>
            <w:pPr>
              <w:pStyle w:val="TableCell"/>
            </w:pPr>
            <w:r>
              <w:t xml:space="preserve">Ask whoever maintains the system — it is recoverable from the project history.</w:t>
            </w:r>
          </w:p>
        </w:tc>
      </w:tr>
    </w:tbl>
    <w:p>
      <w:pPr>
        <w:pStyle w:val="Spacer"/>
      </w:pPr>
    </w:p>
    <w:p>
      <w:pPr>
        <w:pStyle w:val="Heading2"/>
      </w:pPr>
      <w:r>
        <w:t xml:space="preserve">When you need to ask for help</w:t>
      </w:r>
    </w:p>
    <w:p>
      <w:r>
        <w:t xml:space="preserve">Run this first and send the text it prints. It answers most questions before they are asked:</w:t>
      </w:r>
    </w:p>
    <w:p>
      <w:pPr>
        <w:pStyle w:val="CodeBlock"/>
        <w:shd w:val="clear" w:color="auto" w:fill="EDF2F1"/>
        <w:spacing w:before="120" w:after="160"/>
      </w:pPr>
      <w:r>
        <w:t xml:space="preserve">runtime\python\python.exe src\epal_config.py</w:t>
      </w:r>
    </w:p>
    <w:p>
      <w:r>
        <w:t xml:space="preserve">Also useful: the log for the day, in </w:t>
      </w:r>
      <w:r>
        <w:rPr>
          <w:rStyle w:val="CodeChar"/>
        </w:rPr>
        <w:t xml:space="preserve">%LOCALAPPDATA%\EPAL\logs</w:t>
      </w:r>
      <w:r>
        <w:t xml:space="preserve"> on your own laptop. It records every licence processed and every problem found.</w:t>
      </w:r>
    </w:p>
    <w:p>
      <w:pPr>
        <w:pStyle w:val="Heading1"/>
      </w:pPr>
      <w:r>
        <w:t xml:space="preserve">09   Five rules that protect the data</w:t>
      </w:r>
    </w:p>
    <w:p>
      <w:pPr>
        <w:pStyle w:val="Kicker"/>
      </w:pPr>
      <w:r>
        <w:t xml:space="preserve">Each one exists because breaking it has already cost someone work</w:t>
      </w:r>
    </w:p>
    <w:p>
      <w:pPr>
        <w:pStyle w:val="Heading3"/>
      </w:pPr>
      <w:r>
        <w:t xml:space="preserve">1.  Never run the automatic watcher on two laptops</w:t>
      </w:r>
    </w:p>
    <w:p>
      <w:r>
        <w:t xml:space="preserve">Two machines processing the same inbox can write to the master workbook at the same time and corrupt it. One nominated laptop only.</w:t>
      </w:r>
    </w:p>
    <w:p>
      <w:pPr>
        <w:pStyle w:val="Heading3"/>
      </w:pPr>
      <w:r>
        <w:t xml:space="preserve">2.  Close Excel before running an extraction</w:t>
      </w:r>
    </w:p>
    <w:p>
      <w:r>
        <w:t xml:space="preserve">Nothing is lost if you forget — the data is parked safely and picked up next time — but the licence will not reach the dashboard until you do.</w:t>
      </w:r>
    </w:p>
    <w:p>
      <w:pPr>
        <w:pStyle w:val="Heading3"/>
      </w:pPr>
      <w:r>
        <w:t xml:space="preserve">3.  Close Power BI before running the setup</w:t>
      </w:r>
    </w:p>
    <w:p>
      <w:r>
        <w:t xml:space="preserve">Power BI rewrites the dashboard file when it saves, and will undo the setup without warning.</w:t>
      </w:r>
    </w:p>
    <w:p>
      <w:pPr>
        <w:pStyle w:val="Heading3"/>
      </w:pPr>
      <w:r>
        <w:t xml:space="preserve">4.  Never edit the master workbooks or the dashboard data by hand</w:t>
      </w:r>
    </w:p>
    <w:p>
      <w:r>
        <w:t xml:space="preserve">Everything in </w:t>
      </w:r>
      <w:r>
        <w:rPr>
          <w:rStyle w:val="CodeChar"/>
        </w:rPr>
        <w:t xml:space="preserve">data\powerbi\</w:t>
      </w:r>
      <w:r>
        <w:t xml:space="preserve"> and every </w:t>
      </w:r>
      <w:r>
        <w:rPr>
          <w:rStyle w:val="CodeChar"/>
        </w:rPr>
        <w:t xml:space="preserve">master_….xlsx</w:t>
      </w:r>
      <w:r>
        <w:t xml:space="preserve"> is rebuilt from the PDFs. A manual edit disappears at the next run, and you will not be told. Fix the PDF or ask for the code to be changed.</w:t>
      </w:r>
    </w:p>
    <w:p>
      <w:pPr>
        <w:pStyle w:val="Heading3"/>
      </w:pPr>
      <w:r>
        <w:t xml:space="preserve">5.  Wait for the green tick before doing anything</w:t>
      </w:r>
    </w:p>
    <w:p>
      <w:r>
        <w:t xml:space="preserve">More reported faults come from a half-synced folder than from every other cause combined.</w:t>
      </w:r>
    </w:p>
    <w:p>
      <w:pPr>
        <w:pStyle w:val="Heading1"/>
      </w:pPr>
      <w:r>
        <w:t xml:space="preserve">10   Reference: every button and check</w:t>
      </w:r>
    </w:p>
    <w:p>
      <w:pPr>
        <w:pStyle w:val="Kicker"/>
      </w:pPr>
      <w:r>
        <w:t xml:space="preserve">Keep this page open the first week</w:t>
      </w:r>
    </w:p>
    <w:p>
      <w:pPr>
        <w:pStyle w:val="Heading2"/>
      </w:pPr>
      <w:r>
        <w:t xml:space="preserve">Things you double-click</w:t>
      </w:r>
    </w:p>
    <w:p>
      <w:r>
        <w:t xml:space="preserve">They all live in one folder: </w:t>
      </w:r>
      <w:r>
        <w:rPr>
          <w:rStyle w:val="CodeChar"/>
        </w:rPr>
        <w:t xml:space="preserve">BOTOES\</w:t>
      </w:r>
      <w:r>
        <w:t xml:space="preserve"> in the project root.</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212"/>
        <w:gridCol w:w="3212"/>
        <w:gridCol w:w="3212"/>
      </w:tblGrid>
      <w:tr>
        <w:trPr>
          <w:tblHeader/>
        </w:trPr>
        <w:tc>
          <w:tcPr>
            <w:tcW w:w="3212" w:type="dxa"/>
            <w:shd w:val="clear" w:color="auto" w:fill="0E5C57"/>
          </w:tcPr>
          <w:p>
            <w:pPr>
              <w:pStyle w:val="TableHead"/>
            </w:pPr>
            <w:r>
              <w:t xml:space="preserve">File</w:t>
            </w:r>
          </w:p>
        </w:tc>
        <w:tc>
          <w:tcPr>
            <w:tcW w:w="3212" w:type="dxa"/>
            <w:shd w:val="clear" w:color="auto" w:fill="0E5C57"/>
          </w:tcPr>
          <w:p>
            <w:pPr>
              <w:pStyle w:val="TableHead"/>
            </w:pPr>
            <w:r>
              <w:t xml:space="preserve">What it does</w:t>
            </w:r>
          </w:p>
        </w:tc>
        <w:tc>
          <w:tcPr>
            <w:tcW w:w="3212" w:type="dxa"/>
            <w:shd w:val="clear" w:color="auto" w:fill="0E5C57"/>
          </w:tcPr>
          <w:p>
            <w:pPr>
              <w:pStyle w:val="TableHead"/>
            </w:pPr>
            <w:r>
              <w:t xml:space="preserve">How often</w:t>
            </w:r>
          </w:p>
        </w:tc>
      </w:tr>
      <w:tr>
        <w:tc>
          <w:tcPr>
            <w:tcW w:w="3212" w:type="dxa"/>
          </w:tcPr>
          <w:p>
            <w:pPr>
              <w:pStyle w:val="TableCell"/>
            </w:pPr>
            <w:r>
              <w:rPr>
                <w:rStyle w:val="CodeChar"/>
              </w:rPr>
              <w:t xml:space="preserve">CONFIGURAR_ESTE_PC.bat</w:t>
            </w:r>
          </w:p>
        </w:tc>
        <w:tc>
          <w:tcPr>
            <w:tcW w:w="3212" w:type="dxa"/>
          </w:tcPr>
          <w:p>
            <w:pPr>
              <w:pStyle w:val="TableCell"/>
            </w:pPr>
            <w:r>
              <w:t xml:space="preserve">Prepares this laptop</w:t>
            </w:r>
          </w:p>
        </w:tc>
        <w:tc>
          <w:tcPr>
            <w:tcW w:w="3212" w:type="dxa"/>
          </w:tcPr>
          <w:p>
            <w:pPr>
              <w:pStyle w:val="TableCell"/>
            </w:pPr>
            <w:r>
              <w:t xml:space="preserve">Once per computer</w:t>
            </w:r>
          </w:p>
        </w:tc>
      </w:tr>
      <w:tr>
        <w:tc>
          <w:tcPr>
            <w:tcW w:w="3212" w:type="dxa"/>
            <w:shd w:val="clear" w:color="auto" w:fill="F5F8F7"/>
          </w:tcPr>
          <w:p>
            <w:pPr>
              <w:pStyle w:val="TableCell"/>
            </w:pPr>
            <w:r>
              <w:rPr>
                <w:rStyle w:val="CodeChar"/>
              </w:rPr>
              <w:t xml:space="preserve">run_tua.bat</w:t>
            </w:r>
          </w:p>
        </w:tc>
        <w:tc>
          <w:tcPr>
            <w:tcW w:w="3212" w:type="dxa"/>
            <w:shd w:val="clear" w:color="auto" w:fill="F5F8F7"/>
          </w:tcPr>
          <w:p>
            <w:pPr>
              <w:pStyle w:val="TableCell"/>
            </w:pPr>
            <w:r>
              <w:t xml:space="preserve">Processes the TUA inbox once</w:t>
            </w:r>
          </w:p>
        </w:tc>
        <w:tc>
          <w:tcPr>
            <w:tcW w:w="3212" w:type="dxa"/>
            <w:shd w:val="clear" w:color="auto" w:fill="F5F8F7"/>
          </w:tcPr>
          <w:p>
            <w:pPr>
              <w:pStyle w:val="TableCell"/>
            </w:pPr>
            <w:r>
              <w:t xml:space="preserve">Whenever you add TUA PDFs</w:t>
            </w:r>
          </w:p>
        </w:tc>
      </w:tr>
      <w:tr>
        <w:tc>
          <w:tcPr>
            <w:tcW w:w="3212" w:type="dxa"/>
          </w:tcPr>
          <w:p>
            <w:pPr>
              <w:pStyle w:val="TableCell"/>
            </w:pPr>
            <w:r>
              <w:rPr>
                <w:rStyle w:val="CodeChar"/>
              </w:rPr>
              <w:t xml:space="preserve">run_lurh.bat</w:t>
            </w:r>
          </w:p>
        </w:tc>
        <w:tc>
          <w:tcPr>
            <w:tcW w:w="3212" w:type="dxa"/>
          </w:tcPr>
          <w:p>
            <w:pPr>
              <w:pStyle w:val="TableCell"/>
            </w:pPr>
            <w:r>
              <w:t xml:space="preserve">Processes the LURH inbox once</w:t>
            </w:r>
          </w:p>
        </w:tc>
        <w:tc>
          <w:tcPr>
            <w:tcW w:w="3212" w:type="dxa"/>
          </w:tcPr>
          <w:p>
            <w:pPr>
              <w:pStyle w:val="TableCell"/>
            </w:pPr>
            <w:r>
              <w:t xml:space="preserve">Whenever you add LURH PDFs</w:t>
            </w:r>
          </w:p>
        </w:tc>
      </w:tr>
      <w:tr>
        <w:tc>
          <w:tcPr>
            <w:tcW w:w="3212" w:type="dxa"/>
            <w:shd w:val="clear" w:color="auto" w:fill="F5F8F7"/>
          </w:tcPr>
          <w:p>
            <w:pPr>
              <w:pStyle w:val="TableCell"/>
            </w:pPr>
            <w:r>
              <w:rPr>
                <w:rStyle w:val="CodeChar"/>
              </w:rPr>
              <w:t xml:space="preserve">SERVIDOR_PDFS.bat</w:t>
            </w:r>
          </w:p>
        </w:tc>
        <w:tc>
          <w:tcPr>
            <w:tcW w:w="3212" w:type="dxa"/>
            <w:shd w:val="clear" w:color="auto" w:fill="F5F8F7"/>
          </w:tcPr>
          <w:p>
            <w:pPr>
              <w:pStyle w:val="TableCell"/>
            </w:pPr>
            <w:r>
              <w:t xml:space="preserve">Lets the dashboard open PDFs</w:t>
            </w:r>
          </w:p>
        </w:tc>
        <w:tc>
          <w:tcPr>
            <w:tcW w:w="3212" w:type="dxa"/>
            <w:shd w:val="clear" w:color="auto" w:fill="F5F8F7"/>
          </w:tcPr>
          <w:p>
            <w:pPr>
              <w:pStyle w:val="TableCell"/>
            </w:pPr>
            <w:r>
              <w:t xml:space="preserve">While using the dashboard, for now</w:t>
            </w:r>
          </w:p>
        </w:tc>
      </w:tr>
      <w:tr>
        <w:tc>
          <w:tcPr>
            <w:tcW w:w="3212" w:type="dxa"/>
          </w:tcPr>
          <w:p>
            <w:pPr>
              <w:pStyle w:val="TableCell"/>
            </w:pPr>
            <w:r>
              <w:rPr>
                <w:rStyle w:val="CodeChar"/>
              </w:rPr>
              <w:t xml:space="preserve">ATUALIZAR_POWERBI.bat</w:t>
            </w:r>
          </w:p>
        </w:tc>
        <w:tc>
          <w:tcPr>
            <w:tcW w:w="3212" w:type="dxa"/>
          </w:tcPr>
          <w:p>
            <w:pPr>
              <w:pStyle w:val="TableCell"/>
            </w:pPr>
            <w:r>
              <w:t xml:space="preserve">Repoints the dashboard at this laptop</w:t>
            </w:r>
          </w:p>
        </w:tc>
        <w:tc>
          <w:tcPr>
            <w:tcW w:w="3212" w:type="dxa"/>
          </w:tcPr>
          <w:p>
            <w:pPr>
              <w:pStyle w:val="TableCell"/>
            </w:pPr>
            <w:r>
              <w:t xml:space="preserve">When Power BI cannot find the data</w:t>
            </w:r>
          </w:p>
        </w:tc>
      </w:tr>
      <w:tr>
        <w:tc>
          <w:tcPr>
            <w:tcW w:w="3212" w:type="dxa"/>
            <w:shd w:val="clear" w:color="auto" w:fill="F5F8F7"/>
          </w:tcPr>
          <w:p>
            <w:pPr>
              <w:pStyle w:val="TableCell"/>
            </w:pPr>
            <w:r>
              <w:rPr>
                <w:rStyle w:val="CodeChar"/>
              </w:rPr>
              <w:t xml:space="preserve">watch_tua.bat</w:t>
            </w:r>
            <w:r>
              <w:t xml:space="preserve"> / </w:t>
            </w:r>
            <w:r>
              <w:rPr>
                <w:rStyle w:val="CodeChar"/>
              </w:rPr>
              <w:t xml:space="preserve">watch_lurh.bat</w:t>
            </w:r>
          </w:p>
        </w:tc>
        <w:tc>
          <w:tcPr>
            <w:tcW w:w="3212" w:type="dxa"/>
            <w:shd w:val="clear" w:color="auto" w:fill="F5F8F7"/>
          </w:tcPr>
          <w:p>
            <w:pPr>
              <w:pStyle w:val="TableCell"/>
            </w:pPr>
            <w:r>
              <w:t xml:space="preserve">Watches an inbox continuously</w:t>
            </w:r>
          </w:p>
        </w:tc>
        <w:tc>
          <w:tcPr>
            <w:tcW w:w="3212" w:type="dxa"/>
            <w:shd w:val="clear" w:color="auto" w:fill="F5F8F7"/>
          </w:tcPr>
          <w:p>
            <w:pPr>
              <w:pStyle w:val="TableCell"/>
            </w:pPr>
            <w:r>
              <w:t xml:space="preserve">Optional; leave the window open</w:t>
            </w:r>
          </w:p>
        </w:tc>
      </w:tr>
      <w:tr>
        <w:tc>
          <w:tcPr>
            <w:tcW w:w="3212" w:type="dxa"/>
          </w:tcPr>
          <w:p>
            <w:pPr>
              <w:pStyle w:val="TableCell"/>
            </w:pPr>
            <w:r>
              <w:rPr>
                <w:rStyle w:val="CodeChar"/>
              </w:rPr>
              <w:t xml:space="preserve">register_watch_task.bat</w:t>
            </w:r>
          </w:p>
        </w:tc>
        <w:tc>
          <w:tcPr>
            <w:tcW w:w="3212" w:type="dxa"/>
          </w:tcPr>
          <w:p>
            <w:pPr>
              <w:pStyle w:val="TableCell"/>
            </w:pPr>
            <w:r>
              <w:t xml:space="preserve">Runs the watcher in the background forever</w:t>
            </w:r>
          </w:p>
        </w:tc>
        <w:tc>
          <w:tcPr>
            <w:tcW w:w="3212" w:type="dxa"/>
          </w:tcPr>
          <w:p>
            <w:pPr>
              <w:pStyle w:val="TableCell"/>
            </w:pPr>
            <w:r>
              <w:t xml:space="preserve">One laptop only, ever</w:t>
            </w:r>
          </w:p>
        </w:tc>
      </w:tr>
      <w:tr>
        <w:tc>
          <w:tcPr>
            <w:tcW w:w="3212" w:type="dxa"/>
            <w:shd w:val="clear" w:color="auto" w:fill="F5F8F7"/>
          </w:tcPr>
          <w:p>
            <w:pPr>
              <w:pStyle w:val="TableCell"/>
            </w:pPr>
            <w:r>
              <w:rPr>
                <w:rStyle w:val="CodeChar"/>
              </w:rPr>
              <w:t xml:space="preserve">INSTALAR_PYTHON_PORTATIL.bat</w:t>
            </w:r>
          </w:p>
        </w:tc>
        <w:tc>
          <w:tcPr>
            <w:tcW w:w="3212" w:type="dxa"/>
            <w:shd w:val="clear" w:color="auto" w:fill="F5F8F7"/>
          </w:tcPr>
          <w:p>
            <w:pPr>
              <w:pStyle w:val="TableCell"/>
            </w:pPr>
            <w:r>
              <w:t xml:space="preserve">Rebuilds the bundled software</w:t>
            </w:r>
          </w:p>
        </w:tc>
        <w:tc>
          <w:tcPr>
            <w:tcW w:w="3212" w:type="dxa"/>
            <w:shd w:val="clear" w:color="auto" w:fill="F5F8F7"/>
          </w:tcPr>
          <w:p>
            <w:pPr>
              <w:pStyle w:val="TableCell"/>
            </w:pPr>
            <w:r>
              <w:t xml:space="preserve">Once per project; needs internet</w:t>
            </w:r>
          </w:p>
        </w:tc>
      </w:tr>
    </w:tbl>
    <w:p>
      <w:pPr>
        <w:pStyle w:val="Spacer"/>
      </w:pPr>
    </w:p>
    <w:p>
      <w:pPr>
        <w:pStyle w:val="Heading2"/>
      </w:pPr>
      <w:r>
        <w:t xml:space="preserve">Checks that only report, never change anything</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706"/>
        <w:gridCol w:w="5931"/>
      </w:tblGrid>
      <w:tr>
        <w:trPr>
          <w:tblHeader/>
        </w:trPr>
        <w:tc>
          <w:tcPr>
            <w:tcW w:w="3706" w:type="dxa"/>
            <w:shd w:val="clear" w:color="auto" w:fill="0E5C57"/>
          </w:tcPr>
          <w:p>
            <w:pPr>
              <w:pStyle w:val="TableHead"/>
            </w:pPr>
            <w:r>
              <w:t xml:space="preserve">Command</w:t>
            </w:r>
          </w:p>
        </w:tc>
        <w:tc>
          <w:tcPr>
            <w:tcW w:w="5931" w:type="dxa"/>
            <w:shd w:val="clear" w:color="auto" w:fill="0E5C57"/>
          </w:tcPr>
          <w:p>
            <w:pPr>
              <w:pStyle w:val="TableHead"/>
            </w:pPr>
            <w:r>
              <w:t xml:space="preserve">Answers</w:t>
            </w:r>
          </w:p>
        </w:tc>
      </w:tr>
      <w:tr>
        <w:tc>
          <w:tcPr>
            <w:tcW w:w="3706" w:type="dxa"/>
          </w:tcPr>
          <w:p>
            <w:pPr>
              <w:pStyle w:val="TableCell"/>
            </w:pPr>
            <w:r>
              <w:rPr>
                <w:rStyle w:val="CodeChar"/>
              </w:rPr>
              <w:t xml:space="preserve">src\epal_config.py</w:t>
            </w:r>
          </w:p>
        </w:tc>
        <w:tc>
          <w:tcPr>
            <w:tcW w:w="5931" w:type="dxa"/>
          </w:tcPr>
          <w:p>
            <w:pPr>
              <w:pStyle w:val="TableCell"/>
            </w:pPr>
            <w:r>
              <w:t xml:space="preserve">What did this laptop work out? Send this when asking for help.</w:t>
            </w:r>
          </w:p>
        </w:tc>
      </w:tr>
      <w:tr>
        <w:tc>
          <w:tcPr>
            <w:tcW w:w="3706" w:type="dxa"/>
            <w:shd w:val="clear" w:color="auto" w:fill="F5F8F7"/>
          </w:tcPr>
          <w:p>
            <w:pPr>
              <w:pStyle w:val="TableCell"/>
            </w:pPr>
            <w:r>
              <w:rPr>
                <w:rStyle w:val="CodeChar"/>
              </w:rPr>
              <w:t xml:space="preserve">src\_verificar_migracao.py</w:t>
            </w:r>
          </w:p>
        </w:tc>
        <w:tc>
          <w:tcPr>
            <w:tcW w:w="5931" w:type="dxa"/>
            <w:shd w:val="clear" w:color="auto" w:fill="F5F8F7"/>
          </w:tcPr>
          <w:p>
            <w:pPr>
              <w:pStyle w:val="TableCell"/>
            </w:pPr>
            <w:r>
              <w:t xml:space="preserve">Is this laptop correctly set up?</w:t>
            </w:r>
          </w:p>
        </w:tc>
      </w:tr>
      <w:tr>
        <w:tc>
          <w:tcPr>
            <w:tcW w:w="3706" w:type="dxa"/>
          </w:tcPr>
          <w:p>
            <w:pPr>
              <w:pStyle w:val="TableCell"/>
            </w:pPr>
            <w:r>
              <w:rPr>
                <w:rStyle w:val="CodeChar"/>
              </w:rPr>
              <w:t xml:space="preserve">src\_verificar_bibliotecas.py</w:t>
            </w:r>
          </w:p>
        </w:tc>
        <w:tc>
          <w:tcPr>
            <w:tcW w:w="5931" w:type="dxa"/>
          </w:tcPr>
          <w:p>
            <w:pPr>
              <w:pStyle w:val="TableCell"/>
            </w:pPr>
            <w:r>
              <w:t xml:space="preserve">Did all the software arrive?</w:t>
            </w:r>
          </w:p>
        </w:tc>
      </w:tr>
      <w:tr>
        <w:tc>
          <w:tcPr>
            <w:tcW w:w="3706" w:type="dxa"/>
            <w:shd w:val="clear" w:color="auto" w:fill="F5F8F7"/>
          </w:tcPr>
          <w:p>
            <w:pPr>
              <w:pStyle w:val="TableCell"/>
            </w:pPr>
            <w:r>
              <w:rPr>
                <w:rStyle w:val="CodeChar"/>
              </w:rPr>
              <w:t xml:space="preserve">src\_verificar_cobertura.py</w:t>
            </w:r>
          </w:p>
        </w:tc>
        <w:tc>
          <w:tcPr>
            <w:tcW w:w="5931" w:type="dxa"/>
            <w:shd w:val="clear" w:color="auto" w:fill="F5F8F7"/>
          </w:tcPr>
          <w:p>
            <w:pPr>
              <w:pStyle w:val="TableCell"/>
            </w:pPr>
            <w:r>
              <w:t xml:space="preserve">Did every archived PDF reach the dashboard?</w:t>
            </w:r>
          </w:p>
        </w:tc>
      </w:tr>
      <w:tr>
        <w:tc>
          <w:tcPr>
            <w:tcW w:w="3706" w:type="dxa"/>
          </w:tcPr>
          <w:p>
            <w:pPr>
              <w:pStyle w:val="TableCell"/>
            </w:pPr>
            <w:r>
              <w:rPr>
                <w:rStyle w:val="CodeChar"/>
              </w:rPr>
              <w:t xml:space="preserve">reports\validate_project.py</w:t>
            </w:r>
          </w:p>
        </w:tc>
        <w:tc>
          <w:tcPr>
            <w:tcW w:w="5931" w:type="dxa"/>
          </w:tcPr>
          <w:p>
            <w:pPr>
              <w:pStyle w:val="TableCell"/>
            </w:pPr>
            <w:r>
              <w:t xml:space="preserve">Is the dashboard file undamaged?</w:t>
            </w:r>
          </w:p>
        </w:tc>
      </w:tr>
      <w:tr>
        <w:tc>
          <w:tcPr>
            <w:tcW w:w="3706" w:type="dxa"/>
            <w:shd w:val="clear" w:color="auto" w:fill="F5F8F7"/>
          </w:tcPr>
          <w:p>
            <w:pPr>
              <w:pStyle w:val="TableCell"/>
            </w:pPr>
            <w:r>
              <w:rPr>
                <w:rStyle w:val="CodeChar"/>
              </w:rPr>
              <w:t xml:space="preserve">…\missing_data_report.py</w:t>
            </w:r>
          </w:p>
        </w:tc>
        <w:tc>
          <w:tcPr>
            <w:tcW w:w="5931" w:type="dxa"/>
            <w:shd w:val="clear" w:color="auto" w:fill="F5F8F7"/>
          </w:tcPr>
          <w:p>
            <w:pPr>
              <w:pStyle w:val="TableCell"/>
            </w:pPr>
            <w:r>
              <w:t xml:space="preserve">Which licences are missing information? Writes an Excel file.</w:t>
            </w:r>
          </w:p>
        </w:tc>
      </w:tr>
      <w:tr>
        <w:tc>
          <w:tcPr>
            <w:tcW w:w="3706" w:type="dxa"/>
          </w:tcPr>
          <w:p>
            <w:pPr>
              <w:pStyle w:val="TableCell"/>
            </w:pPr>
            <w:r>
              <w:rPr>
                <w:rStyle w:val="CodeChar"/>
              </w:rPr>
              <w:t xml:space="preserve">…\relatorio_tua_vs_lurh.py</w:t>
            </w:r>
          </w:p>
        </w:tc>
        <w:tc>
          <w:tcPr>
            <w:tcW w:w="5931" w:type="dxa"/>
          </w:tcPr>
          <w:p>
            <w:pPr>
              <w:pStyle w:val="TableCell"/>
            </w:pPr>
            <w:r>
              <w:t xml:space="preserve">Which plants hold which licences, and are they still valid?</w:t>
            </w:r>
          </w:p>
        </w:tc>
      </w:tr>
    </w:tbl>
    <w:p>
      <w:pPr>
        <w:pStyle w:val="Spacer"/>
      </w:pPr>
    </w:p>
    <w:p>
      <w:pPr>
        <w:pStyle w:val="Heading2"/>
      </w:pPr>
      <w:r>
        <w:t xml:space="preserve">Folders worth recognising</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2753"/>
        <w:gridCol w:w="4819"/>
        <w:gridCol w:w="2065"/>
      </w:tblGrid>
      <w:tr>
        <w:trPr>
          <w:tblHeader/>
        </w:trPr>
        <w:tc>
          <w:tcPr>
            <w:tcW w:w="2753" w:type="dxa"/>
            <w:shd w:val="clear" w:color="auto" w:fill="0E5C57"/>
          </w:tcPr>
          <w:p>
            <w:pPr>
              <w:pStyle w:val="TableHead"/>
            </w:pPr>
            <w:r>
              <w:t xml:space="preserve">Folder</w:t>
            </w:r>
          </w:p>
        </w:tc>
        <w:tc>
          <w:tcPr>
            <w:tcW w:w="4819" w:type="dxa"/>
            <w:shd w:val="clear" w:color="auto" w:fill="0E5C57"/>
          </w:tcPr>
          <w:p>
            <w:pPr>
              <w:pStyle w:val="TableHead"/>
            </w:pPr>
            <w:r>
              <w:t xml:space="preserve">What lives there</w:t>
            </w:r>
          </w:p>
        </w:tc>
        <w:tc>
          <w:tcPr>
            <w:tcW w:w="2065" w:type="dxa"/>
            <w:shd w:val="clear" w:color="auto" w:fill="0E5C57"/>
          </w:tcPr>
          <w:p>
            <w:pPr>
              <w:pStyle w:val="TableHead"/>
            </w:pPr>
            <w:r>
              <w:t xml:space="preserve">Safe to touch?</w:t>
            </w:r>
          </w:p>
        </w:tc>
      </w:tr>
      <w:tr>
        <w:tc>
          <w:tcPr>
            <w:tcW w:w="2753" w:type="dxa"/>
          </w:tcPr>
          <w:p>
            <w:pPr>
              <w:pStyle w:val="TableCell"/>
            </w:pPr>
            <w:r>
              <w:rPr>
                <w:rStyle w:val="CodeChar"/>
              </w:rPr>
              <w:t xml:space="preserve">Drop_New_Licenses\</w:t>
            </w:r>
          </w:p>
        </w:tc>
        <w:tc>
          <w:tcPr>
            <w:tcW w:w="4819" w:type="dxa"/>
          </w:tcPr>
          <w:p>
            <w:pPr>
              <w:pStyle w:val="TableCell"/>
            </w:pPr>
            <w:r>
              <w:t xml:space="preserve">Where you put new PDFs</w:t>
            </w:r>
          </w:p>
        </w:tc>
        <w:tc>
          <w:tcPr>
            <w:tcW w:w="2065" w:type="dxa"/>
          </w:tcPr>
          <w:p>
            <w:pPr>
              <w:pStyle w:val="TableCell"/>
            </w:pPr>
            <w:r>
              <w:rPr>
                <w:b/>
                <w:color w:val="2D6647"/>
              </w:rPr>
              <w:t xml:space="preserve">Yes</w:t>
            </w:r>
          </w:p>
        </w:tc>
      </w:tr>
      <w:tr>
        <w:tc>
          <w:tcPr>
            <w:tcW w:w="2753" w:type="dxa"/>
            <w:shd w:val="clear" w:color="auto" w:fill="F5F8F7"/>
          </w:tcPr>
          <w:p>
            <w:pPr>
              <w:pStyle w:val="TableCell"/>
            </w:pPr>
            <w:r>
              <w:rPr>
                <w:rStyle w:val="CodeChar"/>
              </w:rPr>
              <w:t xml:space="preserve">data\pdfs\</w:t>
            </w:r>
          </w:p>
        </w:tc>
        <w:tc>
          <w:tcPr>
            <w:tcW w:w="4819" w:type="dxa"/>
            <w:shd w:val="clear" w:color="auto" w:fill="F5F8F7"/>
          </w:tcPr>
          <w:p>
            <w:pPr>
              <w:pStyle w:val="TableCell"/>
            </w:pPr>
            <w:r>
              <w:t xml:space="preserve">The licence archive — one copy of each PDF</w:t>
            </w:r>
          </w:p>
        </w:tc>
        <w:tc>
          <w:tcPr>
            <w:tcW w:w="2065" w:type="dxa"/>
            <w:shd w:val="clear" w:color="auto" w:fill="F5F8F7"/>
          </w:tcPr>
          <w:p>
            <w:pPr>
              <w:pStyle w:val="TableCell"/>
            </w:pPr>
            <w:r>
              <w:rPr>
                <w:b/>
                <w:color w:val="9A6212"/>
              </w:rPr>
              <w:t xml:space="preserve">Read only</w:t>
            </w:r>
          </w:p>
        </w:tc>
      </w:tr>
      <w:tr>
        <w:tc>
          <w:tcPr>
            <w:tcW w:w="2753" w:type="dxa"/>
          </w:tcPr>
          <w:p>
            <w:pPr>
              <w:pStyle w:val="TableCell"/>
            </w:pPr>
            <w:r>
              <w:rPr>
                <w:rStyle w:val="CodeChar"/>
              </w:rPr>
              <w:t xml:space="preserve">data\review\</w:t>
            </w:r>
          </w:p>
        </w:tc>
        <w:tc>
          <w:tcPr>
            <w:tcW w:w="4819" w:type="dxa"/>
          </w:tcPr>
          <w:p>
            <w:pPr>
              <w:pStyle w:val="TableCell"/>
            </w:pPr>
            <w:r>
              <w:t xml:space="preserve">Licences a person needs to look at</w:t>
            </w:r>
          </w:p>
        </w:tc>
        <w:tc>
          <w:tcPr>
            <w:tcW w:w="2065" w:type="dxa"/>
          </w:tcPr>
          <w:p>
            <w:pPr>
              <w:pStyle w:val="TableCell"/>
            </w:pPr>
            <w:r>
              <w:rPr>
                <w:b/>
                <w:color w:val="2D6647"/>
              </w:rPr>
              <w:t xml:space="preserve">Yes</w:t>
            </w:r>
          </w:p>
        </w:tc>
      </w:tr>
      <w:tr>
        <w:tc>
          <w:tcPr>
            <w:tcW w:w="2753" w:type="dxa"/>
            <w:shd w:val="clear" w:color="auto" w:fill="F5F8F7"/>
          </w:tcPr>
          <w:p>
            <w:pPr>
              <w:pStyle w:val="TableCell"/>
            </w:pPr>
            <w:r>
              <w:rPr>
                <w:rStyle w:val="CodeChar"/>
              </w:rPr>
              <w:t xml:space="preserve">outputs\reports\</w:t>
            </w:r>
          </w:p>
        </w:tc>
        <w:tc>
          <w:tcPr>
            <w:tcW w:w="4819" w:type="dxa"/>
            <w:shd w:val="clear" w:color="auto" w:fill="F5F8F7"/>
          </w:tcPr>
          <w:p>
            <w:pPr>
              <w:pStyle w:val="TableCell"/>
            </w:pPr>
            <w:r>
              <w:t xml:space="preserve">Excel reports the checks produce</w:t>
            </w:r>
          </w:p>
        </w:tc>
        <w:tc>
          <w:tcPr>
            <w:tcW w:w="2065" w:type="dxa"/>
            <w:shd w:val="clear" w:color="auto" w:fill="F5F8F7"/>
          </w:tcPr>
          <w:p>
            <w:pPr>
              <w:pStyle w:val="TableCell"/>
            </w:pPr>
            <w:r>
              <w:rPr>
                <w:b/>
                <w:color w:val="2D6647"/>
              </w:rPr>
              <w:t xml:space="preserve">Yes</w:t>
            </w:r>
          </w:p>
        </w:tc>
      </w:tr>
      <w:tr>
        <w:tc>
          <w:tcPr>
            <w:tcW w:w="2753" w:type="dxa"/>
          </w:tcPr>
          <w:p>
            <w:pPr>
              <w:pStyle w:val="TableCell"/>
            </w:pPr>
            <w:r>
              <w:rPr>
                <w:rStyle w:val="CodeChar"/>
              </w:rPr>
              <w:t xml:space="preserve">data\powerbi\</w:t>
            </w:r>
          </w:p>
        </w:tc>
        <w:tc>
          <w:tcPr>
            <w:tcW w:w="4819" w:type="dxa"/>
          </w:tcPr>
          <w:p>
            <w:pPr>
              <w:pStyle w:val="TableCell"/>
            </w:pPr>
            <w:r>
              <w:t xml:space="preserve">What the dashboard reads — rebuilt every run</w:t>
            </w:r>
          </w:p>
        </w:tc>
        <w:tc>
          <w:tcPr>
            <w:tcW w:w="2065" w:type="dxa"/>
          </w:tcPr>
          <w:p>
            <w:pPr>
              <w:pStyle w:val="TableCell"/>
            </w:pPr>
            <w:r>
              <w:rPr>
                <w:b/>
                <w:color w:val="9E3226"/>
              </w:rPr>
              <w:t xml:space="preserve">Never edit</w:t>
            </w:r>
          </w:p>
        </w:tc>
      </w:tr>
      <w:tr>
        <w:tc>
          <w:tcPr>
            <w:tcW w:w="2753" w:type="dxa"/>
            <w:shd w:val="clear" w:color="auto" w:fill="F5F8F7"/>
          </w:tcPr>
          <w:p>
            <w:pPr>
              <w:pStyle w:val="TableCell"/>
            </w:pPr>
            <w:r>
              <w:rPr>
                <w:rStyle w:val="CodeChar"/>
              </w:rPr>
              <w:t xml:space="preserve">runtime\</w:t>
            </w:r>
          </w:p>
        </w:tc>
        <w:tc>
          <w:tcPr>
            <w:tcW w:w="4819" w:type="dxa"/>
            <w:shd w:val="clear" w:color="auto" w:fill="F5F8F7"/>
          </w:tcPr>
          <w:p>
            <w:pPr>
              <w:pStyle w:val="TableCell"/>
            </w:pPr>
            <w:r>
              <w:t xml:space="preserve">The bundled software</w:t>
            </w:r>
          </w:p>
        </w:tc>
        <w:tc>
          <w:tcPr>
            <w:tcW w:w="2065" w:type="dxa"/>
            <w:shd w:val="clear" w:color="auto" w:fill="F5F8F7"/>
          </w:tcPr>
          <w:p>
            <w:pPr>
              <w:pStyle w:val="TableCell"/>
            </w:pPr>
            <w:r>
              <w:rPr>
                <w:b/>
                <w:color w:val="9E3226"/>
              </w:rPr>
              <w:t xml:space="preserve">Never touch</w:t>
            </w:r>
          </w:p>
        </w:tc>
      </w:tr>
      <w:tr>
        <w:tc>
          <w:tcPr>
            <w:tcW w:w="2753" w:type="dxa"/>
          </w:tcPr>
          <w:p>
            <w:pPr>
              <w:pStyle w:val="TableCell"/>
            </w:pPr>
            <w:r>
              <w:rPr>
                <w:rStyle w:val="CodeChar"/>
              </w:rPr>
              <w:t xml:space="preserve">src\</w:t>
            </w:r>
          </w:p>
        </w:tc>
        <w:tc>
          <w:tcPr>
            <w:tcW w:w="4819" w:type="dxa"/>
          </w:tcPr>
          <w:p>
            <w:pPr>
              <w:pStyle w:val="TableCell"/>
            </w:pPr>
            <w:r>
              <w:t xml:space="preserve">The code</w:t>
            </w:r>
          </w:p>
        </w:tc>
        <w:tc>
          <w:tcPr>
            <w:tcW w:w="2065" w:type="dxa"/>
          </w:tcPr>
          <w:p>
            <w:pPr>
              <w:pStyle w:val="TableCell"/>
            </w:pPr>
            <w:r>
              <w:rPr>
                <w:b/>
                <w:color w:val="9E3226"/>
              </w:rPr>
              <w:t xml:space="preserve">Never edit</w:t>
            </w:r>
          </w:p>
        </w:tc>
      </w:tr>
    </w:tbl>
    <w:p>
      <w:pPr>
        <w:pStyle w:val="Spacer"/>
      </w:pPr>
    </w:p>
    <w:p>
      <w:pPr>
        <w:pStyle w:val="Spacer"/>
      </w:pPr>
    </w:p>
    <w:p>
      <w:pPr>
        <w:pStyle w:val="NoteLabel"/>
        <w:pBdr>
          <w:left w:val="single" w:sz="18" w:space="8" w:color="0E5C57"/>
        </w:pBdr>
        <w:shd w:val="clear" w:color="auto" w:fill="EDF3F2"/>
        <w:ind w:left="170" w:right="170"/>
        <w:spacing w:before="240" w:after="20"/>
      </w:pPr>
      <w:r>
        <w:t xml:space="preserve">About this document</w:t>
      </w:r>
    </w:p>
    <w:p>
      <w:pPr>
        <w:pStyle w:val="NoteBody"/>
        <w:pBdr>
          <w:left w:val="single" w:sz="18" w:space="8" w:color="0E5C57"/>
        </w:pBdr>
        <w:shd w:val="clear" w:color="auto" w:fill="EDF3F2"/>
        <w:ind w:left="170" w:right="170"/>
        <w:spacing w:after="100"/>
      </w:pPr>
      <w:r>
        <w:t xml:space="preserve">EPAL licence extraction system — operations handbook. Figures in this document were measured from the project on 25 August 2026: 700 licences, 1,023 archived PDFs, 400 treatment plants.</w:t>
      </w:r>
    </w:p>
    <w:p>
      <w:pPr>
        <w:pStyle w:val="NoteBody"/>
        <w:pBdr>
          <w:left w:val="single" w:sz="18" w:space="8" w:color="0E5C57"/>
        </w:pBdr>
        <w:shd w:val="clear" w:color="auto" w:fill="EDF3F2"/>
        <w:ind w:left="170" w:right="170"/>
        <w:spacing w:after="240"/>
      </w:pPr>
      <w:r>
        <w:t xml:space="preserve">The day-to-day quick reference for operators lives in </w:t>
      </w:r>
      <w:r>
        <w:rPr>
          <w:rStyle w:val="CodeChar"/>
        </w:rPr>
        <w:t xml:space="preserve">LEIA-ME_PRIMEIRO.txt</w:t>
      </w:r>
      <w:r>
        <w:t xml:space="preserve"> in the project root, in Portuguese. The move to the team SharePoint is covered separately in </w:t>
      </w:r>
      <w:r>
        <w:rPr>
          <w:rStyle w:val="CodeChar"/>
        </w:rPr>
        <w:t xml:space="preserve">reports\docs\MIGRACAO_SHAREPOINT.md</w:t>
      </w:r>
      <w:r>
        <w:t xml:space="preserve">.</w:t>
      </w:r>
    </w:p>
    <w:sectPr>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Bdr>
        <w:top w:val="single" w:sz="4" w:space="6" w:color="C9D5D3"/>
      </w:pBdr>
      <w:tabs>
        <w:tab w:val="right" w:pos="9638"/>
      </w:tabs>
    </w:pPr>
    <w:r>
      <w:t xml:space="preserve">EPAL Licence System Handbook</w:t>
    </w:r>
    <w:r>
      <w:tab/>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rFonts w:ascii="Arial" w:hAnsi="Aria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color w:val="1A1A1A"/>
      </w:rPr>
    </w:rPrDefault>
    <w:pPrDefault>
      <w:pPr>
        <w:spacing w:after="140" w:line="264" w:lineRule="auto"/>
      </w:pPr>
    </w:pPrDefault>
  </w:docDefaults>
  <w:style w:type="paragraph" w:default="1" w:styleId="Normal">
    <w:name w:val="Normal"/>
    <w:qFormat/>
  </w:style>
  <w:style w:type="character" w:styleId="CodeChar">
    <w:name w:val="Code Char"/>
    <w:rPr>
      <w:rFonts w:ascii="Consolas" w:hAnsi="Consolas"/>
      <w:sz w:val="18"/>
      <w:color w:val="24443F"/>
      <w:shd w:val="clear" w:color="auto" w:fill="EDF2F1"/>
    </w:rPr>
  </w:style>
  <w:style w:type="paragraph" w:styleId="Title">
    <w:name w:val="Title"/>
    <w:basedOn w:val="Normal"/>
    <w:qFormat/>
    <w:pPr>
      <w:spacing w:before="0" w:after="120"/>
      <w:outlineLvl w:val="0"/>
    </w:pPr>
    <w:rPr>
      <w:b/>
      <w:sz w:val="56"/>
      <w:color w:val="0E5C57"/>
      <w:spacing w:val="-14"/>
    </w:rPr>
  </w:style>
  <w:style w:type="paragraph" w:styleId="Eyebrow">
    <w:name w:val="Eyebrow"/>
    <w:basedOn w:val="Normal"/>
    <w:qFormat/>
    <w:pPr>
      <w:spacing w:after="60"/>
    </w:pPr>
    <w:rPr>
      <w:caps/>
      <w:sz w:val="15"/>
      <w:color w:val="55635F"/>
      <w:spacing w:val="30"/>
    </w:rPr>
  </w:style>
  <w:style w:type="paragraph" w:styleId="Lede">
    <w:name w:val="Lede"/>
    <w:basedOn w:val="Normal"/>
    <w:qFormat/>
    <w:pPr>
      <w:spacing w:after="300"/>
    </w:pPr>
    <w:rPr>
      <w:sz w:val="24"/>
      <w:color w:val="333F3D"/>
    </w:rPr>
  </w:style>
  <w:style w:type="paragraph" w:styleId="Heading1">
    <w:name w:val="heading 1"/>
    <w:basedOn w:val="Normal"/>
    <w:qFormat/>
    <w:pPr>
      <w:keepNext/>
      <w:pageBreakBefore/>
      <w:pBdr>
        <w:bottom w:val="single" w:sz="12" w:space="4" w:color="0E5C57"/>
      </w:pBdr>
      <w:spacing w:before="0" w:after="60"/>
      <w:outlineLvl w:val="0"/>
    </w:pPr>
    <w:rPr>
      <w:b/>
      <w:sz w:val="34"/>
      <w:color w:val="0E5C57"/>
    </w:rPr>
  </w:style>
  <w:style w:type="paragraph" w:styleId="Heading2">
    <w:name w:val="heading 2"/>
    <w:basedOn w:val="Normal"/>
    <w:qFormat/>
    <w:pPr>
      <w:keepNext/>
      <w:spacing w:before="320" w:after="80"/>
      <w:outlineLvl w:val="1"/>
    </w:pPr>
    <w:rPr>
      <w:b/>
      <w:sz w:val="25"/>
      <w:color w:val="0E5C57"/>
    </w:rPr>
  </w:style>
  <w:style w:type="paragraph" w:styleId="Heading3">
    <w:name w:val="heading 3"/>
    <w:basedOn w:val="Normal"/>
    <w:qFormat/>
    <w:pPr>
      <w:keepNext/>
      <w:spacing w:before="240" w:after="60"/>
      <w:outlineLvl w:val="2"/>
    </w:pPr>
    <w:rPr>
      <w:b/>
      <w:sz w:val="22"/>
    </w:rPr>
  </w:style>
  <w:style w:type="paragraph" w:styleId="Kicker">
    <w:name w:val="Kicker"/>
    <w:basedOn w:val="Normal"/>
    <w:qFormat/>
    <w:pPr>
      <w:spacing w:after="240"/>
    </w:pPr>
    <w:rPr>
      <w:i/>
      <w:sz w:val="19"/>
      <w:color w:val="55635F"/>
    </w:rPr>
  </w:style>
  <w:style w:type="paragraph" w:styleId="ListBullet">
    <w:name w:val="List Bullet"/>
    <w:basedOn w:val="Normal"/>
    <w:qFormat/>
    <w:pPr>
      <w:spacing w:after="60"/>
      <w:contextualSpacing/>
    </w:pPr>
    <w:rPr/>
  </w:style>
  <w:style w:type="paragraph" w:styleId="CodeBlock">
    <w:name w:val="Code Block"/>
    <w:basedOn w:val="Normal"/>
    <w:qFormat/>
    <w:pPr>
      <w:ind w:left="170" w:right="170"/>
      <w:spacing w:line="240" w:lineRule="auto"/>
      <w:contextualSpacing/>
    </w:pPr>
    <w:rPr>
      <w:rFonts w:ascii="Consolas" w:hAnsi="Consolas"/>
      <w:sz w:val="18"/>
      <w:color w:val="24443F"/>
    </w:rPr>
  </w:style>
  <w:style w:type="paragraph" w:styleId="NoteLabel">
    <w:name w:val="Note Label"/>
    <w:basedOn w:val="Normal"/>
    <w:qFormat/>
    <w:pPr/>
    <w:rPr>
      <w:b/>
      <w:caps/>
      <w:sz w:val="16"/>
      <w:color w:val="55635F"/>
      <w:spacing w:val="30"/>
    </w:rPr>
  </w:style>
  <w:style w:type="paragraph" w:styleId="NoteBody">
    <w:name w:val="Note Body"/>
    <w:basedOn w:val="Normal"/>
    <w:qFormat/>
    <w:pPr/>
    <w:rPr>
      <w:sz w:val="20"/>
    </w:rPr>
  </w:style>
  <w:style w:type="paragraph" w:styleId="TableHead">
    <w:name w:val="Table Head"/>
    <w:basedOn w:val="Normal"/>
    <w:qFormat/>
    <w:pPr>
      <w:keepNext/>
      <w:spacing w:before="40" w:after="40" w:line="240" w:lineRule="auto"/>
    </w:pPr>
    <w:rPr>
      <w:b/>
      <w:sz w:val="18"/>
      <w:color w:val="FFFFFF"/>
    </w:rPr>
  </w:style>
  <w:style w:type="paragraph" w:styleId="TableCell">
    <w:name w:val="Table Cell"/>
    <w:basedOn w:val="Normal"/>
    <w:qFormat/>
    <w:pPr>
      <w:spacing w:before="30" w:after="30" w:line="240" w:lineRule="auto"/>
    </w:pPr>
    <w:rPr>
      <w:sz w:val="19"/>
    </w:rPr>
  </w:style>
  <w:style w:type="paragraph" w:styleId="Spacer">
    <w:name w:val="Spacer"/>
    <w:basedOn w:val="Normal"/>
    <w:qFormat/>
    <w:pPr>
      <w:spacing w:after="0"/>
    </w:pPr>
    <w:rPr>
      <w:sz w:val="10"/>
    </w:rPr>
  </w:style>
  <w:style w:type="paragraph" w:styleId="Footer">
    <w:name w:val="footer"/>
    <w:basedOn w:val="Normal"/>
    <w:qFormat/>
    <w:pPr>
      <w:spacing w:after="0"/>
    </w:pPr>
    <w:rPr>
      <w:sz w:val="16"/>
      <w:color w:val="55635F"/>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EPAL Licence System Handbook</dc:title>
  <dc:creator>EPAL</dc:creator>
  <cp:lastModifiedBy>EPAL</cp:lastModifiedBy>
</cp:coreProperties>
</file>