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Star Search Audit and UCS Comparison</w:t>
      </w:r>
    </w:p>
    <w:p>
      <w:pPr>
        <w:spacing w:after="160"/>
      </w:pPr>
      <w:r>
        <w:rPr>
          <w:i/>
          <w:color w:val="52727A"/>
        </w:rPr>
        <w:t>Campus routing graph with a controlled heuristic overestimate experiment</w:t>
      </w:r>
    </w:p>
    <w:p>
      <w:r>
        <w:t>This report calculates A* frontier values by hand, compares A* with UCS on the same weighted graph, audits the supplied heuristic, and changes only h(C) for an overestimate experiment. Both standard runs return the optimal cost-6 path; the overestimate changes A*’s choice to a cost-9 path.</w:t>
      </w:r>
    </w:p>
    <w:p>
      <w:pPr>
        <w:pStyle w:val="Heading1"/>
      </w:pPr>
      <w:r>
        <w:t>Problem inputs and implementation choices</w:t>
      </w:r>
    </w:p>
    <w:p>
      <w:r>
        <w:t>The graph, heuristic, and route assumptions below are transcribed from the supplied lab screenshots. Edge values are abstract travel-cost units, and the h values estimate remaining cost in those same units; they are not metre distances.</w:t>
      </w:r>
    </w:p>
    <w:tbl>
      <w:tblPr>
        <w:tblStyle w:val="TableGrid"/>
        <w:tblW w:type="auto" w:w="0"/>
        <w:jc w:val="center"/>
        <w:tblLayout w:type="fixed"/>
        <w:tblLook w:firstColumn="1" w:firstRow="1" w:lastColumn="0" w:lastRow="0" w:noHBand="0" w:noVBand="1" w:val="04A0"/>
      </w:tblPr>
      <w:tblGrid>
        <w:gridCol w:w="5170"/>
        <w:gridCol w:w="5170"/>
      </w:tblGrid>
      <w:tr>
        <w:tc>
          <w:tcPr>
            <w:tcW w:type="dxa" w:w="3168"/>
            <w:vAlign w:val="center"/>
            <w:shd w:fill="17324D"/>
          </w:tcPr>
          <w:p>
            <w:pPr>
              <w:spacing w:after="0" w:before="0"/>
            </w:pPr>
            <w:r/>
            <w:r>
              <w:rPr>
                <w:rFonts w:ascii="Aptos" w:hAnsi="Aptos"/>
                <w:b/>
                <w:color w:val="FFFFFF"/>
                <w:sz w:val="17"/>
              </w:rPr>
              <w:t>Directed edge</w:t>
            </w:r>
          </w:p>
        </w:tc>
        <w:tc>
          <w:tcPr>
            <w:tcW w:type="dxa" w:w="1440"/>
            <w:vAlign w:val="center"/>
            <w:shd w:fill="17324D"/>
          </w:tcPr>
          <w:p>
            <w:pPr>
              <w:spacing w:after="0" w:before="0"/>
            </w:pPr>
            <w:r/>
            <w:r>
              <w:rPr>
                <w:rFonts w:ascii="Aptos" w:hAnsi="Aptos"/>
                <w:b/>
                <w:color w:val="FFFFFF"/>
                <w:sz w:val="17"/>
              </w:rPr>
              <w:t>Cost</w:t>
            </w:r>
          </w:p>
        </w:tc>
      </w:tr>
      <w:tr>
        <w:tc>
          <w:tcPr>
            <w:tcW w:type="dxa" w:w="3168"/>
            <w:vAlign w:val="center"/>
            <w:shd w:fill="F0F5F6"/>
          </w:tcPr>
          <w:p>
            <w:pPr>
              <w:spacing w:after="0" w:before="0"/>
            </w:pPr>
            <w:r/>
            <w:r>
              <w:rPr>
                <w:rFonts w:ascii="Aptos" w:hAnsi="Aptos"/>
                <w:b w:val="0"/>
                <w:sz w:val="17"/>
              </w:rPr>
              <w:t>S → A</w:t>
            </w:r>
          </w:p>
        </w:tc>
        <w:tc>
          <w:tcPr>
            <w:tcW w:type="dxa" w:w="1440"/>
            <w:vAlign w:val="center"/>
            <w:shd w:fill="F0F5F6"/>
          </w:tcPr>
          <w:p>
            <w:pPr>
              <w:spacing w:after="0" w:before="0"/>
            </w:pPr>
            <w:r/>
            <w:r>
              <w:rPr>
                <w:rFonts w:ascii="Aptos" w:hAnsi="Aptos"/>
                <w:b w:val="0"/>
                <w:sz w:val="17"/>
              </w:rPr>
              <w:t>1</w:t>
            </w:r>
          </w:p>
        </w:tc>
      </w:tr>
      <w:tr>
        <w:tc>
          <w:tcPr>
            <w:tcW w:type="dxa" w:w="3168"/>
            <w:vAlign w:val="center"/>
            <w:shd w:fill="FFFFFF"/>
          </w:tcPr>
          <w:p>
            <w:pPr>
              <w:spacing w:after="0" w:before="0"/>
            </w:pPr>
            <w:r/>
            <w:r>
              <w:rPr>
                <w:rFonts w:ascii="Aptos" w:hAnsi="Aptos"/>
                <w:b w:val="0"/>
                <w:sz w:val="17"/>
              </w:rPr>
              <w:t>S → B</w:t>
            </w:r>
          </w:p>
        </w:tc>
        <w:tc>
          <w:tcPr>
            <w:tcW w:type="dxa" w:w="1440"/>
            <w:vAlign w:val="center"/>
            <w:shd w:fill="FFFFFF"/>
          </w:tcPr>
          <w:p>
            <w:pPr>
              <w:spacing w:after="0" w:before="0"/>
            </w:pPr>
            <w:r/>
            <w:r>
              <w:rPr>
                <w:rFonts w:ascii="Aptos" w:hAnsi="Aptos"/>
                <w:b w:val="0"/>
                <w:sz w:val="17"/>
              </w:rPr>
              <w:t>4</w:t>
            </w:r>
          </w:p>
        </w:tc>
      </w:tr>
      <w:tr>
        <w:tc>
          <w:tcPr>
            <w:tcW w:type="dxa" w:w="3168"/>
            <w:vAlign w:val="center"/>
            <w:shd w:fill="F0F5F6"/>
          </w:tcPr>
          <w:p>
            <w:pPr>
              <w:spacing w:after="0" w:before="0"/>
            </w:pPr>
            <w:r/>
            <w:r>
              <w:rPr>
                <w:rFonts w:ascii="Aptos" w:hAnsi="Aptos"/>
                <w:b w:val="0"/>
                <w:sz w:val="17"/>
              </w:rPr>
              <w:t>A → C</w:t>
            </w:r>
          </w:p>
        </w:tc>
        <w:tc>
          <w:tcPr>
            <w:tcW w:type="dxa" w:w="1440"/>
            <w:vAlign w:val="center"/>
            <w:shd w:fill="F0F5F6"/>
          </w:tcPr>
          <w:p>
            <w:pPr>
              <w:spacing w:after="0" w:before="0"/>
            </w:pPr>
            <w:r/>
            <w:r>
              <w:rPr>
                <w:rFonts w:ascii="Aptos" w:hAnsi="Aptos"/>
                <w:b w:val="0"/>
                <w:sz w:val="17"/>
              </w:rPr>
              <w:t>2</w:t>
            </w:r>
          </w:p>
        </w:tc>
      </w:tr>
      <w:tr>
        <w:tc>
          <w:tcPr>
            <w:tcW w:type="dxa" w:w="3168"/>
            <w:vAlign w:val="center"/>
            <w:shd w:fill="FFFFFF"/>
          </w:tcPr>
          <w:p>
            <w:pPr>
              <w:spacing w:after="0" w:before="0"/>
            </w:pPr>
            <w:r/>
            <w:r>
              <w:rPr>
                <w:rFonts w:ascii="Aptos" w:hAnsi="Aptos"/>
                <w:b w:val="0"/>
                <w:sz w:val="17"/>
              </w:rPr>
              <w:t>B → G</w:t>
            </w:r>
          </w:p>
        </w:tc>
        <w:tc>
          <w:tcPr>
            <w:tcW w:type="dxa" w:w="1440"/>
            <w:vAlign w:val="center"/>
            <w:shd w:fill="FFFFFF"/>
          </w:tcPr>
          <w:p>
            <w:pPr>
              <w:spacing w:after="0" w:before="0"/>
            </w:pPr>
            <w:r/>
            <w:r>
              <w:rPr>
                <w:rFonts w:ascii="Aptos" w:hAnsi="Aptos"/>
                <w:b w:val="0"/>
                <w:sz w:val="17"/>
              </w:rPr>
              <w:t>5</w:t>
            </w:r>
          </w:p>
        </w:tc>
      </w:tr>
      <w:tr>
        <w:tc>
          <w:tcPr>
            <w:tcW w:type="dxa" w:w="3168"/>
            <w:vAlign w:val="center"/>
            <w:shd w:fill="F0F5F6"/>
          </w:tcPr>
          <w:p>
            <w:pPr>
              <w:spacing w:after="0" w:before="0"/>
            </w:pPr>
            <w:r/>
            <w:r>
              <w:rPr>
                <w:rFonts w:ascii="Aptos" w:hAnsi="Aptos"/>
                <w:b w:val="0"/>
                <w:sz w:val="17"/>
              </w:rPr>
              <w:t>C → G</w:t>
            </w:r>
          </w:p>
        </w:tc>
        <w:tc>
          <w:tcPr>
            <w:tcW w:type="dxa" w:w="1440"/>
            <w:vAlign w:val="center"/>
            <w:shd w:fill="F0F5F6"/>
          </w:tcPr>
          <w:p>
            <w:pPr>
              <w:spacing w:after="0" w:before="0"/>
            </w:pPr>
            <w:r/>
            <w:r>
              <w:rPr>
                <w:rFonts w:ascii="Aptos" w:hAnsi="Aptos"/>
                <w:b w:val="0"/>
                <w:sz w:val="17"/>
              </w:rPr>
              <w:t>3</w:t>
            </w:r>
          </w:p>
        </w:tc>
      </w:tr>
    </w:tbl>
    <w:p>
      <w:pPr>
        <w:spacing w:after="0"/>
      </w:pPr>
    </w:p>
    <w:tbl>
      <w:tblPr>
        <w:tblStyle w:val="TableGrid"/>
        <w:tblW w:type="auto" w:w="0"/>
        <w:jc w:val="center"/>
        <w:tblLayout w:type="fixed"/>
        <w:tblLook w:firstColumn="1" w:firstRow="1" w:lastColumn="0" w:lastRow="0" w:noHBand="0" w:noVBand="1" w:val="04A0"/>
      </w:tblPr>
      <w:tblGrid>
        <w:gridCol w:w="5170"/>
        <w:gridCol w:w="5170"/>
      </w:tblGrid>
      <w:tr>
        <w:tc>
          <w:tcPr>
            <w:tcW w:type="dxa" w:w="3168"/>
            <w:vAlign w:val="center"/>
            <w:shd w:fill="17324D"/>
          </w:tcPr>
          <w:p>
            <w:pPr>
              <w:spacing w:after="0" w:before="0"/>
            </w:pPr>
            <w:r/>
            <w:r>
              <w:rPr>
                <w:rFonts w:ascii="Aptos" w:hAnsi="Aptos"/>
                <w:b/>
                <w:color w:val="FFFFFF"/>
                <w:sz w:val="17"/>
              </w:rPr>
              <w:t>Heuristic node</w:t>
            </w:r>
          </w:p>
        </w:tc>
        <w:tc>
          <w:tcPr>
            <w:tcW w:type="dxa" w:w="1440"/>
            <w:vAlign w:val="center"/>
            <w:shd w:fill="17324D"/>
          </w:tcPr>
          <w:p>
            <w:pPr>
              <w:spacing w:after="0" w:before="0"/>
            </w:pPr>
            <w:r/>
            <w:r>
              <w:rPr>
                <w:rFonts w:ascii="Aptos" w:hAnsi="Aptos"/>
                <w:b/>
                <w:color w:val="FFFFFF"/>
                <w:sz w:val="17"/>
              </w:rPr>
              <w:t>h(n)</w:t>
            </w:r>
          </w:p>
        </w:tc>
      </w:tr>
      <w:tr>
        <w:tc>
          <w:tcPr>
            <w:tcW w:type="dxa" w:w="3168"/>
            <w:vAlign w:val="center"/>
            <w:shd w:fill="F0F5F6"/>
          </w:tcPr>
          <w:p>
            <w:pPr>
              <w:spacing w:after="0" w:before="0"/>
            </w:pPr>
            <w:r/>
            <w:r>
              <w:rPr>
                <w:rFonts w:ascii="Aptos" w:hAnsi="Aptos"/>
                <w:b w:val="0"/>
                <w:sz w:val="17"/>
              </w:rPr>
              <w:t>S</w:t>
            </w:r>
          </w:p>
        </w:tc>
        <w:tc>
          <w:tcPr>
            <w:tcW w:type="dxa" w:w="1440"/>
            <w:vAlign w:val="center"/>
            <w:shd w:fill="F0F5F6"/>
          </w:tcPr>
          <w:p>
            <w:pPr>
              <w:spacing w:after="0" w:before="0"/>
            </w:pPr>
            <w:r/>
            <w:r>
              <w:rPr>
                <w:rFonts w:ascii="Aptos" w:hAnsi="Aptos"/>
                <w:b w:val="0"/>
                <w:sz w:val="17"/>
              </w:rPr>
              <w:t>5</w:t>
            </w:r>
          </w:p>
        </w:tc>
      </w:tr>
      <w:tr>
        <w:tc>
          <w:tcPr>
            <w:tcW w:type="dxa" w:w="3168"/>
            <w:vAlign w:val="center"/>
            <w:shd w:fill="FFFFFF"/>
          </w:tcPr>
          <w:p>
            <w:pPr>
              <w:spacing w:after="0" w:before="0"/>
            </w:pPr>
            <w:r/>
            <w:r>
              <w:rPr>
                <w:rFonts w:ascii="Aptos" w:hAnsi="Aptos"/>
                <w:b w:val="0"/>
                <w:sz w:val="17"/>
              </w:rPr>
              <w:t>A</w:t>
            </w:r>
          </w:p>
        </w:tc>
        <w:tc>
          <w:tcPr>
            <w:tcW w:type="dxa" w:w="1440"/>
            <w:vAlign w:val="center"/>
            <w:shd w:fill="FFFFFF"/>
          </w:tcPr>
          <w:p>
            <w:pPr>
              <w:spacing w:after="0" w:before="0"/>
            </w:pPr>
            <w:r/>
            <w:r>
              <w:rPr>
                <w:rFonts w:ascii="Aptos" w:hAnsi="Aptos"/>
                <w:b w:val="0"/>
                <w:sz w:val="17"/>
              </w:rPr>
              <w:t>4</w:t>
            </w:r>
          </w:p>
        </w:tc>
      </w:tr>
      <w:tr>
        <w:tc>
          <w:tcPr>
            <w:tcW w:type="dxa" w:w="3168"/>
            <w:vAlign w:val="center"/>
            <w:shd w:fill="F0F5F6"/>
          </w:tcPr>
          <w:p>
            <w:pPr>
              <w:spacing w:after="0" w:before="0"/>
            </w:pPr>
            <w:r/>
            <w:r>
              <w:rPr>
                <w:rFonts w:ascii="Aptos" w:hAnsi="Aptos"/>
                <w:b w:val="0"/>
                <w:sz w:val="17"/>
              </w:rPr>
              <w:t>B</w:t>
            </w:r>
          </w:p>
        </w:tc>
        <w:tc>
          <w:tcPr>
            <w:tcW w:type="dxa" w:w="1440"/>
            <w:vAlign w:val="center"/>
            <w:shd w:fill="F0F5F6"/>
          </w:tcPr>
          <w:p>
            <w:pPr>
              <w:spacing w:after="0" w:before="0"/>
            </w:pPr>
            <w:r/>
            <w:r>
              <w:rPr>
                <w:rFonts w:ascii="Aptos" w:hAnsi="Aptos"/>
                <w:b w:val="0"/>
                <w:sz w:val="17"/>
              </w:rPr>
              <w:t>4</w:t>
            </w:r>
          </w:p>
        </w:tc>
      </w:tr>
      <w:tr>
        <w:tc>
          <w:tcPr>
            <w:tcW w:type="dxa" w:w="3168"/>
            <w:vAlign w:val="center"/>
            <w:shd w:fill="FFFFFF"/>
          </w:tcPr>
          <w:p>
            <w:pPr>
              <w:spacing w:after="0" w:before="0"/>
            </w:pPr>
            <w:r/>
            <w:r>
              <w:rPr>
                <w:rFonts w:ascii="Aptos" w:hAnsi="Aptos"/>
                <w:b w:val="0"/>
                <w:sz w:val="17"/>
              </w:rPr>
              <w:t>C</w:t>
            </w:r>
          </w:p>
        </w:tc>
        <w:tc>
          <w:tcPr>
            <w:tcW w:type="dxa" w:w="1440"/>
            <w:vAlign w:val="center"/>
            <w:shd w:fill="FFFFFF"/>
          </w:tcPr>
          <w:p>
            <w:pPr>
              <w:spacing w:after="0" w:before="0"/>
            </w:pPr>
            <w:r/>
            <w:r>
              <w:rPr>
                <w:rFonts w:ascii="Aptos" w:hAnsi="Aptos"/>
                <w:b w:val="0"/>
                <w:sz w:val="17"/>
              </w:rPr>
              <w:t>2</w:t>
            </w:r>
          </w:p>
        </w:tc>
      </w:tr>
      <w:tr>
        <w:tc>
          <w:tcPr>
            <w:tcW w:type="dxa" w:w="3168"/>
            <w:vAlign w:val="center"/>
            <w:shd w:fill="F0F5F6"/>
          </w:tcPr>
          <w:p>
            <w:pPr>
              <w:spacing w:after="0" w:before="0"/>
            </w:pPr>
            <w:r/>
            <w:r>
              <w:rPr>
                <w:rFonts w:ascii="Aptos" w:hAnsi="Aptos"/>
                <w:b w:val="0"/>
                <w:sz w:val="17"/>
              </w:rPr>
              <w:t>G</w:t>
            </w:r>
          </w:p>
        </w:tc>
        <w:tc>
          <w:tcPr>
            <w:tcW w:type="dxa" w:w="1440"/>
            <w:vAlign w:val="center"/>
            <w:shd w:fill="F0F5F6"/>
          </w:tcPr>
          <w:p>
            <w:pPr>
              <w:spacing w:after="0" w:before="0"/>
            </w:pPr>
            <w:r/>
            <w:r>
              <w:rPr>
                <w:rFonts w:ascii="Aptos" w:hAnsi="Aptos"/>
                <w:b w:val="0"/>
                <w:sz w:val="17"/>
              </w:rPr>
              <w:t>0</w:t>
            </w:r>
          </w:p>
        </w:tc>
      </w:tr>
    </w:tbl>
    <w:p>
      <w:pPr>
        <w:spacing w:after="0"/>
      </w:pPr>
    </w:p>
    <w:p>
      <w:r>
        <w:t>Start: S. Goal: G. Successor order: S lists A then B; all other successor lists follow the single edge shown. The priority queue uses entries (f, g, node, path), so ties are resolved by lower f, then lower g, then node label, then path. Successors are considered in listed order. No relevant frontier tie occurs in these runs.</w:t>
      </w:r>
    </w:p>
    <w:p>
      <w:r>
        <w:t>Counting convention: a valid node is recorded when removed from the queue. Processing the goal appears in the processed trace, but the goal is not expanded and is excluded from the expansion count. Stale entries are discarded before goal checking. The supplied screenshot code returns at the goal before stale-checking and does not instrument the trace; the companion code safely checks stale entries first and records the goal. No stale entries occur in these runs, so this ordering difference does not change any result.</w:t>
      </w:r>
    </w:p>
    <w:p>
      <w:pPr>
        <w:pStyle w:val="Heading1"/>
      </w:pPr>
      <w:r>
        <w:t>1. First three A star expansions by hand</w:t>
      </w:r>
    </w:p>
    <w:p>
      <w:r>
        <w:t>For each selected node, f(n)=g(n)+h(n). Each frontier is listed after expanding the selected node and inserting any better successor paths.</w:t>
      </w:r>
    </w:p>
    <w:tbl>
      <w:tblPr>
        <w:tblStyle w:val="TableGrid"/>
        <w:tblW w:type="auto" w:w="0"/>
        <w:jc w:val="center"/>
        <w:tblLayout w:type="fixed"/>
        <w:tblLook w:firstColumn="1" w:firstRow="1" w:lastColumn="0" w:lastRow="0" w:noHBand="0" w:noVBand="1" w:val="04A0"/>
      </w:tblPr>
      <w:tblGrid>
        <w:gridCol w:w="2585"/>
        <w:gridCol w:w="2585"/>
        <w:gridCol w:w="2585"/>
        <w:gridCol w:w="2585"/>
      </w:tblGrid>
      <w:tr>
        <w:tc>
          <w:tcPr>
            <w:tcW w:type="dxa" w:w="1656"/>
            <w:vAlign w:val="center"/>
            <w:shd w:fill="17324D"/>
          </w:tcPr>
          <w:p>
            <w:pPr>
              <w:spacing w:after="0" w:before="0"/>
            </w:pPr>
            <w:r/>
            <w:r>
              <w:rPr>
                <w:rFonts w:ascii="Aptos" w:hAnsi="Aptos"/>
                <w:b/>
                <w:color w:val="FFFFFF"/>
                <w:sz w:val="15"/>
              </w:rPr>
              <w:t>Expansion and selected node</w:t>
            </w:r>
          </w:p>
        </w:tc>
        <w:tc>
          <w:tcPr>
            <w:tcW w:type="dxa" w:w="3096"/>
            <w:vAlign w:val="center"/>
            <w:shd w:fill="17324D"/>
          </w:tcPr>
          <w:p>
            <w:pPr>
              <w:spacing w:after="0" w:before="0"/>
            </w:pPr>
            <w:r/>
            <w:r>
              <w:rPr>
                <w:rFonts w:ascii="Aptos" w:hAnsi="Aptos"/>
                <w:b/>
                <w:color w:val="FFFFFF"/>
                <w:sz w:val="15"/>
              </w:rPr>
              <w:t>g, h, f calculation</w:t>
            </w:r>
          </w:p>
        </w:tc>
        <w:tc>
          <w:tcPr>
            <w:tcW w:type="dxa" w:w="2376"/>
            <w:vAlign w:val="center"/>
            <w:shd w:fill="17324D"/>
          </w:tcPr>
          <w:p>
            <w:pPr>
              <w:spacing w:after="0" w:before="0"/>
            </w:pPr>
            <w:r/>
            <w:r>
              <w:rPr>
                <w:rFonts w:ascii="Aptos" w:hAnsi="Aptos"/>
                <w:b/>
                <w:color w:val="FFFFFF"/>
                <w:sz w:val="15"/>
              </w:rPr>
              <w:t>Remaining frontier after expansion</w:t>
            </w:r>
          </w:p>
        </w:tc>
        <w:tc>
          <w:tcPr>
            <w:tcW w:type="dxa" w:w="2376"/>
            <w:vAlign w:val="center"/>
            <w:shd w:fill="17324D"/>
          </w:tcPr>
          <w:p>
            <w:pPr>
              <w:spacing w:after="0" w:before="0"/>
            </w:pPr>
            <w:r/>
            <w:r>
              <w:rPr>
                <w:rFonts w:ascii="Aptos" w:hAnsi="Aptos"/>
                <w:b/>
                <w:color w:val="FFFFFF"/>
                <w:sz w:val="15"/>
              </w:rPr>
              <w:t>Why next</w:t>
            </w:r>
          </w:p>
        </w:tc>
      </w:tr>
      <w:tr>
        <w:tc>
          <w:tcPr>
            <w:tcW w:type="dxa" w:w="1656"/>
            <w:vAlign w:val="center"/>
            <w:shd w:fill="F0F5F6"/>
          </w:tcPr>
          <w:p>
            <w:pPr>
              <w:spacing w:after="0" w:before="0"/>
            </w:pPr>
            <w:r/>
            <w:r>
              <w:rPr>
                <w:rFonts w:ascii="Aptos" w:hAnsi="Aptos"/>
                <w:b w:val="0"/>
                <w:sz w:val="15"/>
              </w:rPr>
              <w:t>1. S</w:t>
            </w:r>
          </w:p>
        </w:tc>
        <w:tc>
          <w:tcPr>
            <w:tcW w:type="dxa" w:w="3096"/>
            <w:vAlign w:val="center"/>
            <w:shd w:fill="F0F5F6"/>
          </w:tcPr>
          <w:p>
            <w:pPr>
              <w:spacing w:after="0" w:before="0"/>
            </w:pPr>
            <w:r/>
            <w:r>
              <w:rPr>
                <w:rFonts w:ascii="Aptos" w:hAnsi="Aptos"/>
                <w:b w:val="0"/>
                <w:sz w:val="15"/>
              </w:rPr>
              <w:t>g(S)=0; h(S)=5; f(S)=0+5=5.</w:t>
              <w:br/>
              <w:t>S→A: g=0+1=1; f=1+4=5.</w:t>
              <w:br/>
              <w:t>S→B: g=0+4=4; f=4+4=8.</w:t>
            </w:r>
          </w:p>
        </w:tc>
        <w:tc>
          <w:tcPr>
            <w:tcW w:type="dxa" w:w="2376"/>
            <w:vAlign w:val="center"/>
            <w:shd w:fill="F0F5F6"/>
          </w:tcPr>
          <w:p>
            <w:pPr>
              <w:spacing w:after="0" w:before="0"/>
            </w:pPr>
            <w:r/>
            <w:r>
              <w:rPr>
                <w:rFonts w:ascii="Aptos" w:hAnsi="Aptos"/>
                <w:b w:val="0"/>
                <w:sz w:val="15"/>
              </w:rPr>
              <w:t>A: (g=1,h=4,f=5)</w:t>
              <w:br/>
              <w:t>B: (g=4,h=4,f=8)</w:t>
            </w:r>
          </w:p>
        </w:tc>
        <w:tc>
          <w:tcPr>
            <w:tcW w:type="dxa" w:w="2376"/>
            <w:vAlign w:val="center"/>
            <w:shd w:fill="F0F5F6"/>
          </w:tcPr>
          <w:p>
            <w:pPr>
              <w:spacing w:after="0" w:before="0"/>
            </w:pPr>
            <w:r/>
            <w:r>
              <w:rPr>
                <w:rFonts w:ascii="Aptos" w:hAnsi="Aptos"/>
                <w:b w:val="0"/>
                <w:sz w:val="15"/>
              </w:rPr>
              <w:t>A is next because f=5 is less than B’s f=8.</w:t>
            </w:r>
          </w:p>
        </w:tc>
      </w:tr>
      <w:tr>
        <w:tc>
          <w:tcPr>
            <w:tcW w:type="dxa" w:w="1656"/>
            <w:vAlign w:val="center"/>
            <w:shd w:fill="FFFFFF"/>
          </w:tcPr>
          <w:p>
            <w:pPr>
              <w:spacing w:after="0" w:before="0"/>
            </w:pPr>
            <w:r/>
            <w:r>
              <w:rPr>
                <w:rFonts w:ascii="Aptos" w:hAnsi="Aptos"/>
                <w:b w:val="0"/>
                <w:sz w:val="15"/>
              </w:rPr>
              <w:t>2. A</w:t>
            </w:r>
          </w:p>
        </w:tc>
        <w:tc>
          <w:tcPr>
            <w:tcW w:type="dxa" w:w="3096"/>
            <w:vAlign w:val="center"/>
            <w:shd w:fill="FFFFFF"/>
          </w:tcPr>
          <w:p>
            <w:pPr>
              <w:spacing w:after="0" w:before="0"/>
            </w:pPr>
            <w:r/>
            <w:r>
              <w:rPr>
                <w:rFonts w:ascii="Aptos" w:hAnsi="Aptos"/>
                <w:b w:val="0"/>
                <w:sz w:val="15"/>
              </w:rPr>
              <w:t>g(A)=1; h(A)=4; f(A)=1+4=5.</w:t>
              <w:br/>
              <w:t>A→C: g=1+2=3; f=3+2=5.</w:t>
            </w:r>
          </w:p>
        </w:tc>
        <w:tc>
          <w:tcPr>
            <w:tcW w:type="dxa" w:w="2376"/>
            <w:vAlign w:val="center"/>
            <w:shd w:fill="FFFFFF"/>
          </w:tcPr>
          <w:p>
            <w:pPr>
              <w:spacing w:after="0" w:before="0"/>
            </w:pPr>
            <w:r/>
            <w:r>
              <w:rPr>
                <w:rFonts w:ascii="Aptos" w:hAnsi="Aptos"/>
                <w:b w:val="0"/>
                <w:sz w:val="15"/>
              </w:rPr>
              <w:t>C: (g=3,h=2,f=5)</w:t>
              <w:br/>
              <w:t>B: (g=4,h=4,f=8)</w:t>
            </w:r>
          </w:p>
        </w:tc>
        <w:tc>
          <w:tcPr>
            <w:tcW w:type="dxa" w:w="2376"/>
            <w:vAlign w:val="center"/>
            <w:shd w:fill="FFFFFF"/>
          </w:tcPr>
          <w:p>
            <w:pPr>
              <w:spacing w:after="0" w:before="0"/>
            </w:pPr>
            <w:r/>
            <w:r>
              <w:rPr>
                <w:rFonts w:ascii="Aptos" w:hAnsi="Aptos"/>
                <w:b w:val="0"/>
                <w:sz w:val="15"/>
              </w:rPr>
              <w:t>C is next because f=5 is less than B’s f=8.</w:t>
            </w:r>
          </w:p>
        </w:tc>
      </w:tr>
      <w:tr>
        <w:tc>
          <w:tcPr>
            <w:tcW w:type="dxa" w:w="1656"/>
            <w:vAlign w:val="center"/>
            <w:shd w:fill="F0F5F6"/>
          </w:tcPr>
          <w:p>
            <w:pPr>
              <w:spacing w:after="0" w:before="0"/>
            </w:pPr>
            <w:r/>
            <w:r>
              <w:rPr>
                <w:rFonts w:ascii="Aptos" w:hAnsi="Aptos"/>
                <w:b w:val="0"/>
                <w:sz w:val="15"/>
              </w:rPr>
              <w:t>3. C</w:t>
            </w:r>
          </w:p>
        </w:tc>
        <w:tc>
          <w:tcPr>
            <w:tcW w:type="dxa" w:w="3096"/>
            <w:vAlign w:val="center"/>
            <w:shd w:fill="F0F5F6"/>
          </w:tcPr>
          <w:p>
            <w:pPr>
              <w:spacing w:after="0" w:before="0"/>
            </w:pPr>
            <w:r/>
            <w:r>
              <w:rPr>
                <w:rFonts w:ascii="Aptos" w:hAnsi="Aptos"/>
                <w:b w:val="0"/>
                <w:sz w:val="15"/>
              </w:rPr>
              <w:t>g(C)=3; h(C)=2; f(C)=3+2=5.</w:t>
              <w:br/>
              <w:t>C→G: g=3+3=6; f=6+0=6.</w:t>
            </w:r>
          </w:p>
        </w:tc>
        <w:tc>
          <w:tcPr>
            <w:tcW w:type="dxa" w:w="2376"/>
            <w:vAlign w:val="center"/>
            <w:shd w:fill="F0F5F6"/>
          </w:tcPr>
          <w:p>
            <w:pPr>
              <w:spacing w:after="0" w:before="0"/>
            </w:pPr>
            <w:r/>
            <w:r>
              <w:rPr>
                <w:rFonts w:ascii="Aptos" w:hAnsi="Aptos"/>
                <w:b w:val="0"/>
                <w:sz w:val="15"/>
              </w:rPr>
              <w:t>G: (g=6,h=0,f=6)</w:t>
              <w:br/>
              <w:t>B: (g=4,h=4,f=8)</w:t>
            </w:r>
          </w:p>
        </w:tc>
        <w:tc>
          <w:tcPr>
            <w:tcW w:type="dxa" w:w="2376"/>
            <w:vAlign w:val="center"/>
            <w:shd w:fill="F0F5F6"/>
          </w:tcPr>
          <w:p>
            <w:pPr>
              <w:spacing w:after="0" w:before="0"/>
            </w:pPr>
            <w:r/>
            <w:r>
              <w:rPr>
                <w:rFonts w:ascii="Aptos" w:hAnsi="Aptos"/>
                <w:b w:val="0"/>
                <w:sz w:val="15"/>
              </w:rPr>
              <w:t>G is next because f=6 is less than B’s f=8; it is then processed as the goal.</w:t>
            </w:r>
          </w:p>
        </w:tc>
      </w:tr>
    </w:tbl>
    <w:p>
      <w:pPr>
        <w:spacing w:after="0"/>
      </w:pPr>
    </w:p>
    <w:p>
      <w:r>
        <w:t>Thus the first three expanded nodes are S, A, and C. The next valid queue node is G, which ends this run.</w:t>
      </w:r>
    </w:p>
    <w:p>
      <w:pPr>
        <w:pStyle w:val="Heading1"/>
      </w:pPr>
      <w:r>
        <w:t>2. A star versus UCS on the same graph</w:t>
      </w:r>
    </w:p>
    <w:tbl>
      <w:tblPr>
        <w:tblStyle w:val="TableGrid"/>
        <w:tblW w:type="auto" w:w="0"/>
        <w:jc w:val="center"/>
        <w:tblLayout w:type="fixed"/>
        <w:tblLook w:firstColumn="1" w:firstRow="1" w:lastColumn="0" w:lastRow="0" w:noHBand="0" w:noVBand="1" w:val="04A0"/>
      </w:tblPr>
      <w:tblGrid>
        <w:gridCol w:w="1723"/>
        <w:gridCol w:w="1723"/>
        <w:gridCol w:w="1723"/>
        <w:gridCol w:w="1723"/>
        <w:gridCol w:w="1723"/>
        <w:gridCol w:w="1723"/>
      </w:tblGrid>
      <w:tr>
        <w:tc>
          <w:tcPr>
            <w:tcW w:type="dxa" w:w="1656"/>
            <w:vAlign w:val="center"/>
            <w:shd w:fill="17324D"/>
          </w:tcPr>
          <w:p>
            <w:pPr>
              <w:spacing w:after="0" w:before="0"/>
            </w:pPr>
            <w:r/>
            <w:r>
              <w:rPr>
                <w:rFonts w:ascii="Aptos" w:hAnsi="Aptos"/>
                <w:b/>
                <w:color w:val="FFFFFF"/>
                <w:sz w:val="14"/>
              </w:rPr>
              <w:t>Run</w:t>
            </w:r>
          </w:p>
        </w:tc>
        <w:tc>
          <w:tcPr>
            <w:tcW w:type="dxa" w:w="2232"/>
            <w:vAlign w:val="center"/>
            <w:shd w:fill="17324D"/>
          </w:tcPr>
          <w:p>
            <w:pPr>
              <w:spacing w:after="0" w:before="0"/>
            </w:pPr>
            <w:r/>
            <w:r>
              <w:rPr>
                <w:rFonts w:ascii="Aptos" w:hAnsi="Aptos"/>
                <w:b/>
                <w:color w:val="FFFFFF"/>
                <w:sz w:val="14"/>
              </w:rPr>
              <w:t>Processed trace (goal included)</w:t>
            </w:r>
          </w:p>
        </w:tc>
        <w:tc>
          <w:tcPr>
            <w:tcW w:type="dxa" w:w="1872"/>
            <w:vAlign w:val="center"/>
            <w:shd w:fill="17324D"/>
          </w:tcPr>
          <w:p>
            <w:pPr>
              <w:spacing w:after="0" w:before="0"/>
            </w:pPr>
            <w:r/>
            <w:r>
              <w:rPr>
                <w:rFonts w:ascii="Aptos" w:hAnsi="Aptos"/>
                <w:b/>
                <w:color w:val="FFFFFF"/>
                <w:sz w:val="14"/>
              </w:rPr>
              <w:t>Expanded nodes (goal excluded)</w:t>
            </w:r>
          </w:p>
        </w:tc>
        <w:tc>
          <w:tcPr>
            <w:tcW w:type="dxa" w:w="648"/>
            <w:vAlign w:val="center"/>
            <w:shd w:fill="17324D"/>
          </w:tcPr>
          <w:p>
            <w:pPr>
              <w:spacing w:after="0" w:before="0"/>
            </w:pPr>
            <w:r/>
            <w:r>
              <w:rPr>
                <w:rFonts w:ascii="Aptos" w:hAnsi="Aptos"/>
                <w:b/>
                <w:color w:val="FFFFFF"/>
                <w:sz w:val="14"/>
              </w:rPr>
              <w:t>Count</w:t>
            </w:r>
          </w:p>
        </w:tc>
        <w:tc>
          <w:tcPr>
            <w:tcW w:type="dxa" w:w="2160"/>
            <w:vAlign w:val="center"/>
            <w:shd w:fill="17324D"/>
          </w:tcPr>
          <w:p>
            <w:pPr>
              <w:spacing w:after="0" w:before="0"/>
            </w:pPr>
            <w:r/>
            <w:r>
              <w:rPr>
                <w:rFonts w:ascii="Aptos" w:hAnsi="Aptos"/>
                <w:b/>
                <w:color w:val="FFFFFF"/>
                <w:sz w:val="14"/>
              </w:rPr>
              <w:t>Returned path</w:t>
            </w:r>
          </w:p>
        </w:tc>
        <w:tc>
          <w:tcPr>
            <w:tcW w:type="dxa" w:w="2088"/>
            <w:vAlign w:val="center"/>
            <w:shd w:fill="17324D"/>
          </w:tcPr>
          <w:p>
            <w:pPr>
              <w:spacing w:after="0" w:before="0"/>
            </w:pPr>
            <w:r/>
            <w:r>
              <w:rPr>
                <w:rFonts w:ascii="Aptos" w:hAnsi="Aptos"/>
                <w:b/>
                <w:color w:val="FFFFFF"/>
                <w:sz w:val="14"/>
              </w:rPr>
              <w:t>Independent cost sum</w:t>
            </w:r>
          </w:p>
        </w:tc>
      </w:tr>
      <w:tr>
        <w:tc>
          <w:tcPr>
            <w:tcW w:type="dxa" w:w="1656"/>
            <w:vAlign w:val="center"/>
            <w:shd w:fill="F0F5F6"/>
          </w:tcPr>
          <w:p>
            <w:pPr>
              <w:spacing w:after="0" w:before="0"/>
            </w:pPr>
            <w:r/>
            <w:r>
              <w:rPr>
                <w:rFonts w:ascii="Aptos" w:hAnsi="Aptos"/>
                <w:b w:val="0"/>
                <w:sz w:val="14"/>
              </w:rPr>
              <w:t>A* with supplied h</w:t>
            </w:r>
          </w:p>
        </w:tc>
        <w:tc>
          <w:tcPr>
            <w:tcW w:type="dxa" w:w="2232"/>
            <w:vAlign w:val="center"/>
            <w:shd w:fill="F0F5F6"/>
          </w:tcPr>
          <w:p>
            <w:pPr>
              <w:spacing w:after="0" w:before="0"/>
            </w:pPr>
            <w:r/>
            <w:r>
              <w:rPr>
                <w:rFonts w:ascii="Aptos" w:hAnsi="Aptos"/>
                <w:b w:val="0"/>
                <w:sz w:val="14"/>
              </w:rPr>
              <w:t>S, A, C, G</w:t>
            </w:r>
          </w:p>
        </w:tc>
        <w:tc>
          <w:tcPr>
            <w:tcW w:type="dxa" w:w="1872"/>
            <w:vAlign w:val="center"/>
            <w:shd w:fill="F0F5F6"/>
          </w:tcPr>
          <w:p>
            <w:pPr>
              <w:spacing w:after="0" w:before="0"/>
            </w:pPr>
            <w:r/>
            <w:r>
              <w:rPr>
                <w:rFonts w:ascii="Aptos" w:hAnsi="Aptos"/>
                <w:b w:val="0"/>
                <w:sz w:val="14"/>
              </w:rPr>
              <w:t>S, A, C</w:t>
            </w:r>
          </w:p>
        </w:tc>
        <w:tc>
          <w:tcPr>
            <w:tcW w:type="dxa" w:w="648"/>
            <w:vAlign w:val="center"/>
            <w:shd w:fill="F0F5F6"/>
          </w:tcPr>
          <w:p>
            <w:pPr>
              <w:spacing w:after="0" w:before="0"/>
            </w:pPr>
            <w:r/>
            <w:r>
              <w:rPr>
                <w:rFonts w:ascii="Aptos" w:hAnsi="Aptos"/>
                <w:b w:val="0"/>
                <w:sz w:val="14"/>
              </w:rPr>
              <w:t>3</w:t>
            </w:r>
          </w:p>
        </w:tc>
        <w:tc>
          <w:tcPr>
            <w:tcW w:type="dxa" w:w="2160"/>
            <w:vAlign w:val="center"/>
            <w:shd w:fill="F0F5F6"/>
          </w:tcPr>
          <w:p>
            <w:pPr>
              <w:spacing w:after="0" w:before="0"/>
            </w:pPr>
            <w:r/>
            <w:r>
              <w:rPr>
                <w:rFonts w:ascii="Aptos" w:hAnsi="Aptos"/>
                <w:b w:val="0"/>
                <w:sz w:val="14"/>
              </w:rPr>
              <w:t>S → A → C → G</w:t>
            </w:r>
          </w:p>
        </w:tc>
        <w:tc>
          <w:tcPr>
            <w:tcW w:type="dxa" w:w="2088"/>
            <w:vAlign w:val="center"/>
            <w:shd w:fill="F0F5F6"/>
          </w:tcPr>
          <w:p>
            <w:pPr>
              <w:spacing w:after="0" w:before="0"/>
            </w:pPr>
            <w:r/>
            <w:r>
              <w:rPr>
                <w:rFonts w:ascii="Aptos" w:hAnsi="Aptos"/>
                <w:b w:val="0"/>
                <w:sz w:val="14"/>
              </w:rPr>
              <w:t>1 + 2 + 3 = 6</w:t>
            </w:r>
          </w:p>
        </w:tc>
      </w:tr>
      <w:tr>
        <w:tc>
          <w:tcPr>
            <w:tcW w:type="dxa" w:w="1656"/>
            <w:vAlign w:val="center"/>
            <w:shd w:fill="FFFFFF"/>
          </w:tcPr>
          <w:p>
            <w:pPr>
              <w:spacing w:after="0" w:before="0"/>
            </w:pPr>
            <w:r/>
            <w:r>
              <w:rPr>
                <w:rFonts w:ascii="Aptos" w:hAnsi="Aptos"/>
                <w:b w:val="0"/>
                <w:sz w:val="14"/>
              </w:rPr>
              <w:t>UCS with h=0</w:t>
            </w:r>
          </w:p>
        </w:tc>
        <w:tc>
          <w:tcPr>
            <w:tcW w:type="dxa" w:w="2232"/>
            <w:vAlign w:val="center"/>
            <w:shd w:fill="FFFFFF"/>
          </w:tcPr>
          <w:p>
            <w:pPr>
              <w:spacing w:after="0" w:before="0"/>
            </w:pPr>
            <w:r/>
            <w:r>
              <w:rPr>
                <w:rFonts w:ascii="Aptos" w:hAnsi="Aptos"/>
                <w:b w:val="0"/>
                <w:sz w:val="14"/>
              </w:rPr>
              <w:t>S, A, C, B, G</w:t>
            </w:r>
          </w:p>
        </w:tc>
        <w:tc>
          <w:tcPr>
            <w:tcW w:type="dxa" w:w="1872"/>
            <w:vAlign w:val="center"/>
            <w:shd w:fill="FFFFFF"/>
          </w:tcPr>
          <w:p>
            <w:pPr>
              <w:spacing w:after="0" w:before="0"/>
            </w:pPr>
            <w:r/>
            <w:r>
              <w:rPr>
                <w:rFonts w:ascii="Aptos" w:hAnsi="Aptos"/>
                <w:b w:val="0"/>
                <w:sz w:val="14"/>
              </w:rPr>
              <w:t>S, A, C, B</w:t>
            </w:r>
          </w:p>
        </w:tc>
        <w:tc>
          <w:tcPr>
            <w:tcW w:type="dxa" w:w="648"/>
            <w:vAlign w:val="center"/>
            <w:shd w:fill="FFFFFF"/>
          </w:tcPr>
          <w:p>
            <w:pPr>
              <w:spacing w:after="0" w:before="0"/>
            </w:pPr>
            <w:r/>
            <w:r>
              <w:rPr>
                <w:rFonts w:ascii="Aptos" w:hAnsi="Aptos"/>
                <w:b w:val="0"/>
                <w:sz w:val="14"/>
              </w:rPr>
              <w:t>4</w:t>
            </w:r>
          </w:p>
        </w:tc>
        <w:tc>
          <w:tcPr>
            <w:tcW w:type="dxa" w:w="2160"/>
            <w:vAlign w:val="center"/>
            <w:shd w:fill="FFFFFF"/>
          </w:tcPr>
          <w:p>
            <w:pPr>
              <w:spacing w:after="0" w:before="0"/>
            </w:pPr>
            <w:r/>
            <w:r>
              <w:rPr>
                <w:rFonts w:ascii="Aptos" w:hAnsi="Aptos"/>
                <w:b w:val="0"/>
                <w:sz w:val="14"/>
              </w:rPr>
              <w:t>S → A → C → G</w:t>
            </w:r>
          </w:p>
        </w:tc>
        <w:tc>
          <w:tcPr>
            <w:tcW w:type="dxa" w:w="2088"/>
            <w:vAlign w:val="center"/>
            <w:shd w:fill="FFFFFF"/>
          </w:tcPr>
          <w:p>
            <w:pPr>
              <w:spacing w:after="0" w:before="0"/>
            </w:pPr>
            <w:r/>
            <w:r>
              <w:rPr>
                <w:rFonts w:ascii="Aptos" w:hAnsi="Aptos"/>
                <w:b w:val="0"/>
                <w:sz w:val="14"/>
              </w:rPr>
              <w:t>1 + 2 + 3 = 6</w:t>
            </w:r>
          </w:p>
        </w:tc>
      </w:tr>
    </w:tbl>
    <w:p>
      <w:pPr>
        <w:spacing w:after="0"/>
      </w:pPr>
    </w:p>
    <w:p>
      <w:r>
        <w:t>A* expands one fewer node on this instance because h guides it toward C and then G before B is expanded. UCS has h=0, so it expands B at accumulated cost 4 before processing G at cost 6. Both use the same graph, endpoints, queue, and goal-counting convention. Neither run has stale entries. An alternative path S → B → G costs 4 + 5 = 9.</w:t>
      </w:r>
    </w:p>
    <w:p>
      <w:pPr>
        <w:pStyle w:val="Heading2"/>
      </w:pPr>
      <w:r>
        <w:t>Heuristic admissibility and consistency audit</w:t>
      </w:r>
    </w:p>
    <w:tbl>
      <w:tblPr>
        <w:tblStyle w:val="TableGrid"/>
        <w:tblW w:type="auto" w:w="0"/>
        <w:jc w:val="center"/>
        <w:tblLayout w:type="fixed"/>
        <w:tblLook w:firstColumn="1" w:firstRow="1" w:lastColumn="0" w:lastRow="0" w:noHBand="0" w:noVBand="1" w:val="04A0"/>
      </w:tblPr>
      <w:tblGrid>
        <w:gridCol w:w="2585"/>
        <w:gridCol w:w="2585"/>
        <w:gridCol w:w="2585"/>
        <w:gridCol w:w="2585"/>
      </w:tblGrid>
      <w:tr>
        <w:tc>
          <w:tcPr>
            <w:tcW w:type="dxa" w:w="1440"/>
            <w:vAlign w:val="center"/>
            <w:shd w:fill="17324D"/>
          </w:tcPr>
          <w:p>
            <w:pPr>
              <w:spacing w:after="0" w:before="0"/>
            </w:pPr>
            <w:r/>
            <w:r>
              <w:rPr>
                <w:rFonts w:ascii="Aptos" w:hAnsi="Aptos"/>
                <w:b/>
                <w:color w:val="FFFFFF"/>
                <w:sz w:val="16"/>
              </w:rPr>
              <w:t>Node</w:t>
            </w:r>
          </w:p>
        </w:tc>
        <w:tc>
          <w:tcPr>
            <w:tcW w:type="dxa" w:w="1584"/>
            <w:vAlign w:val="center"/>
            <w:shd w:fill="17324D"/>
          </w:tcPr>
          <w:p>
            <w:pPr>
              <w:spacing w:after="0" w:before="0"/>
            </w:pPr>
            <w:r/>
            <w:r>
              <w:rPr>
                <w:rFonts w:ascii="Aptos" w:hAnsi="Aptos"/>
                <w:b/>
                <w:color w:val="FFFFFF"/>
                <w:sz w:val="16"/>
              </w:rPr>
              <w:t>Supplied h(n)</w:t>
            </w:r>
          </w:p>
        </w:tc>
        <w:tc>
          <w:tcPr>
            <w:tcW w:type="dxa" w:w="4320"/>
            <w:vAlign w:val="center"/>
            <w:shd w:fill="17324D"/>
          </w:tcPr>
          <w:p>
            <w:pPr>
              <w:spacing w:after="0" w:before="0"/>
            </w:pPr>
            <w:r/>
            <w:r>
              <w:rPr>
                <w:rFonts w:ascii="Aptos" w:hAnsi="Aptos"/>
                <w:b/>
                <w:color w:val="FFFFFF"/>
                <w:sz w:val="16"/>
              </w:rPr>
              <w:t>True remaining cost h*(n)</w:t>
            </w:r>
          </w:p>
        </w:tc>
        <w:tc>
          <w:tcPr>
            <w:tcW w:type="dxa" w:w="2016"/>
            <w:vAlign w:val="center"/>
            <w:shd w:fill="17324D"/>
          </w:tcPr>
          <w:p>
            <w:pPr>
              <w:spacing w:after="0" w:before="0"/>
            </w:pPr>
            <w:r/>
            <w:r>
              <w:rPr>
                <w:rFonts w:ascii="Aptos" w:hAnsi="Aptos"/>
                <w:b/>
                <w:color w:val="FFFFFF"/>
                <w:sz w:val="16"/>
              </w:rPr>
              <w:t>Admissible?</w:t>
            </w:r>
          </w:p>
        </w:tc>
      </w:tr>
      <w:tr>
        <w:tc>
          <w:tcPr>
            <w:tcW w:type="dxa" w:w="1440"/>
            <w:vAlign w:val="center"/>
            <w:shd w:fill="F0F5F6"/>
          </w:tcPr>
          <w:p>
            <w:pPr>
              <w:spacing w:after="0" w:before="0"/>
            </w:pPr>
            <w:r/>
            <w:r>
              <w:rPr>
                <w:rFonts w:ascii="Aptos" w:hAnsi="Aptos"/>
                <w:b w:val="0"/>
                <w:sz w:val="16"/>
              </w:rPr>
              <w:t>S</w:t>
            </w:r>
          </w:p>
        </w:tc>
        <w:tc>
          <w:tcPr>
            <w:tcW w:type="dxa" w:w="1584"/>
            <w:vAlign w:val="center"/>
            <w:shd w:fill="F0F5F6"/>
          </w:tcPr>
          <w:p>
            <w:pPr>
              <w:spacing w:after="0" w:before="0"/>
            </w:pPr>
            <w:r/>
            <w:r>
              <w:rPr>
                <w:rFonts w:ascii="Aptos" w:hAnsi="Aptos"/>
                <w:b w:val="0"/>
                <w:sz w:val="16"/>
              </w:rPr>
              <w:t>5</w:t>
            </w:r>
          </w:p>
        </w:tc>
        <w:tc>
          <w:tcPr>
            <w:tcW w:type="dxa" w:w="4320"/>
            <w:vAlign w:val="center"/>
            <w:shd w:fill="F0F5F6"/>
          </w:tcPr>
          <w:p>
            <w:pPr>
              <w:spacing w:after="0" w:before="0"/>
            </w:pPr>
            <w:r/>
            <w:r>
              <w:rPr>
                <w:rFonts w:ascii="Aptos" w:hAnsi="Aptos"/>
                <w:b w:val="0"/>
                <w:sz w:val="16"/>
              </w:rPr>
              <w:t>min(1+2+3, 4+5)=6</w:t>
            </w:r>
          </w:p>
        </w:tc>
        <w:tc>
          <w:tcPr>
            <w:tcW w:type="dxa" w:w="2016"/>
            <w:vAlign w:val="center"/>
            <w:shd w:fill="F0F5F6"/>
          </w:tcPr>
          <w:p>
            <w:pPr>
              <w:spacing w:after="0" w:before="0"/>
            </w:pPr>
            <w:r/>
            <w:r>
              <w:rPr>
                <w:rFonts w:ascii="Aptos" w:hAnsi="Aptos"/>
                <w:b w:val="0"/>
                <w:sz w:val="16"/>
              </w:rPr>
              <w:t>Yes</w:t>
            </w:r>
          </w:p>
        </w:tc>
      </w:tr>
      <w:tr>
        <w:tc>
          <w:tcPr>
            <w:tcW w:type="dxa" w:w="1440"/>
            <w:vAlign w:val="center"/>
            <w:shd w:fill="FFFFFF"/>
          </w:tcPr>
          <w:p>
            <w:pPr>
              <w:spacing w:after="0" w:before="0"/>
            </w:pPr>
            <w:r/>
            <w:r>
              <w:rPr>
                <w:rFonts w:ascii="Aptos" w:hAnsi="Aptos"/>
                <w:b w:val="0"/>
                <w:sz w:val="16"/>
              </w:rPr>
              <w:t>A</w:t>
            </w:r>
          </w:p>
        </w:tc>
        <w:tc>
          <w:tcPr>
            <w:tcW w:type="dxa" w:w="1584"/>
            <w:vAlign w:val="center"/>
            <w:shd w:fill="FFFFFF"/>
          </w:tcPr>
          <w:p>
            <w:pPr>
              <w:spacing w:after="0" w:before="0"/>
            </w:pPr>
            <w:r/>
            <w:r>
              <w:rPr>
                <w:rFonts w:ascii="Aptos" w:hAnsi="Aptos"/>
                <w:b w:val="0"/>
                <w:sz w:val="16"/>
              </w:rPr>
              <w:t>4</w:t>
            </w:r>
          </w:p>
        </w:tc>
        <w:tc>
          <w:tcPr>
            <w:tcW w:type="dxa" w:w="4320"/>
            <w:vAlign w:val="center"/>
            <w:shd w:fill="FFFFFF"/>
          </w:tcPr>
          <w:p>
            <w:pPr>
              <w:spacing w:after="0" w:before="0"/>
            </w:pPr>
            <w:r/>
            <w:r>
              <w:rPr>
                <w:rFonts w:ascii="Aptos" w:hAnsi="Aptos"/>
                <w:b w:val="0"/>
                <w:sz w:val="16"/>
              </w:rPr>
              <w:t>2+3=5</w:t>
            </w:r>
          </w:p>
        </w:tc>
        <w:tc>
          <w:tcPr>
            <w:tcW w:type="dxa" w:w="2016"/>
            <w:vAlign w:val="center"/>
            <w:shd w:fill="FFFFFF"/>
          </w:tcPr>
          <w:p>
            <w:pPr>
              <w:spacing w:after="0" w:before="0"/>
            </w:pPr>
            <w:r/>
            <w:r>
              <w:rPr>
                <w:rFonts w:ascii="Aptos" w:hAnsi="Aptos"/>
                <w:b w:val="0"/>
                <w:sz w:val="16"/>
              </w:rPr>
              <w:t>Yes</w:t>
            </w:r>
          </w:p>
        </w:tc>
      </w:tr>
      <w:tr>
        <w:tc>
          <w:tcPr>
            <w:tcW w:type="dxa" w:w="1440"/>
            <w:vAlign w:val="center"/>
            <w:shd w:fill="F0F5F6"/>
          </w:tcPr>
          <w:p>
            <w:pPr>
              <w:spacing w:after="0" w:before="0"/>
            </w:pPr>
            <w:r/>
            <w:r>
              <w:rPr>
                <w:rFonts w:ascii="Aptos" w:hAnsi="Aptos"/>
                <w:b w:val="0"/>
                <w:sz w:val="16"/>
              </w:rPr>
              <w:t>B</w:t>
            </w:r>
          </w:p>
        </w:tc>
        <w:tc>
          <w:tcPr>
            <w:tcW w:type="dxa" w:w="1584"/>
            <w:vAlign w:val="center"/>
            <w:shd w:fill="F0F5F6"/>
          </w:tcPr>
          <w:p>
            <w:pPr>
              <w:spacing w:after="0" w:before="0"/>
            </w:pPr>
            <w:r/>
            <w:r>
              <w:rPr>
                <w:rFonts w:ascii="Aptos" w:hAnsi="Aptos"/>
                <w:b w:val="0"/>
                <w:sz w:val="16"/>
              </w:rPr>
              <w:t>4</w:t>
            </w:r>
          </w:p>
        </w:tc>
        <w:tc>
          <w:tcPr>
            <w:tcW w:type="dxa" w:w="4320"/>
            <w:vAlign w:val="center"/>
            <w:shd w:fill="F0F5F6"/>
          </w:tcPr>
          <w:p>
            <w:pPr>
              <w:spacing w:after="0" w:before="0"/>
            </w:pPr>
            <w:r/>
            <w:r>
              <w:rPr>
                <w:rFonts w:ascii="Aptos" w:hAnsi="Aptos"/>
                <w:b w:val="0"/>
                <w:sz w:val="16"/>
              </w:rPr>
              <w:t>5</w:t>
            </w:r>
          </w:p>
        </w:tc>
        <w:tc>
          <w:tcPr>
            <w:tcW w:type="dxa" w:w="2016"/>
            <w:vAlign w:val="center"/>
            <w:shd w:fill="F0F5F6"/>
          </w:tcPr>
          <w:p>
            <w:pPr>
              <w:spacing w:after="0" w:before="0"/>
            </w:pPr>
            <w:r/>
            <w:r>
              <w:rPr>
                <w:rFonts w:ascii="Aptos" w:hAnsi="Aptos"/>
                <w:b w:val="0"/>
                <w:sz w:val="16"/>
              </w:rPr>
              <w:t>Yes</w:t>
            </w:r>
          </w:p>
        </w:tc>
      </w:tr>
      <w:tr>
        <w:tc>
          <w:tcPr>
            <w:tcW w:type="dxa" w:w="1440"/>
            <w:vAlign w:val="center"/>
            <w:shd w:fill="FFFFFF"/>
          </w:tcPr>
          <w:p>
            <w:pPr>
              <w:spacing w:after="0" w:before="0"/>
            </w:pPr>
            <w:r/>
            <w:r>
              <w:rPr>
                <w:rFonts w:ascii="Aptos" w:hAnsi="Aptos"/>
                <w:b w:val="0"/>
                <w:sz w:val="16"/>
              </w:rPr>
              <w:t>C</w:t>
            </w:r>
          </w:p>
        </w:tc>
        <w:tc>
          <w:tcPr>
            <w:tcW w:type="dxa" w:w="1584"/>
            <w:vAlign w:val="center"/>
            <w:shd w:fill="FFFFFF"/>
          </w:tcPr>
          <w:p>
            <w:pPr>
              <w:spacing w:after="0" w:before="0"/>
            </w:pPr>
            <w:r/>
            <w:r>
              <w:rPr>
                <w:rFonts w:ascii="Aptos" w:hAnsi="Aptos"/>
                <w:b w:val="0"/>
                <w:sz w:val="16"/>
              </w:rPr>
              <w:t>2</w:t>
            </w:r>
          </w:p>
        </w:tc>
        <w:tc>
          <w:tcPr>
            <w:tcW w:type="dxa" w:w="4320"/>
            <w:vAlign w:val="center"/>
            <w:shd w:fill="FFFFFF"/>
          </w:tcPr>
          <w:p>
            <w:pPr>
              <w:spacing w:after="0" w:before="0"/>
            </w:pPr>
            <w:r/>
            <w:r>
              <w:rPr>
                <w:rFonts w:ascii="Aptos" w:hAnsi="Aptos"/>
                <w:b w:val="0"/>
                <w:sz w:val="16"/>
              </w:rPr>
              <w:t>3</w:t>
            </w:r>
          </w:p>
        </w:tc>
        <w:tc>
          <w:tcPr>
            <w:tcW w:type="dxa" w:w="2016"/>
            <w:vAlign w:val="center"/>
            <w:shd w:fill="FFFFFF"/>
          </w:tcPr>
          <w:p>
            <w:pPr>
              <w:spacing w:after="0" w:before="0"/>
            </w:pPr>
            <w:r/>
            <w:r>
              <w:rPr>
                <w:rFonts w:ascii="Aptos" w:hAnsi="Aptos"/>
                <w:b w:val="0"/>
                <w:sz w:val="16"/>
              </w:rPr>
              <w:t>Yes</w:t>
            </w:r>
          </w:p>
        </w:tc>
      </w:tr>
      <w:tr>
        <w:tc>
          <w:tcPr>
            <w:tcW w:type="dxa" w:w="1440"/>
            <w:vAlign w:val="center"/>
            <w:shd w:fill="F0F5F6"/>
          </w:tcPr>
          <w:p>
            <w:pPr>
              <w:spacing w:after="0" w:before="0"/>
            </w:pPr>
            <w:r/>
            <w:r>
              <w:rPr>
                <w:rFonts w:ascii="Aptos" w:hAnsi="Aptos"/>
                <w:b w:val="0"/>
                <w:sz w:val="16"/>
              </w:rPr>
              <w:t>G</w:t>
            </w:r>
          </w:p>
        </w:tc>
        <w:tc>
          <w:tcPr>
            <w:tcW w:type="dxa" w:w="1584"/>
            <w:vAlign w:val="center"/>
            <w:shd w:fill="F0F5F6"/>
          </w:tcPr>
          <w:p>
            <w:pPr>
              <w:spacing w:after="0" w:before="0"/>
            </w:pPr>
            <w:r/>
            <w:r>
              <w:rPr>
                <w:rFonts w:ascii="Aptos" w:hAnsi="Aptos"/>
                <w:b w:val="0"/>
                <w:sz w:val="16"/>
              </w:rPr>
              <w:t>0</w:t>
            </w:r>
          </w:p>
        </w:tc>
        <w:tc>
          <w:tcPr>
            <w:tcW w:type="dxa" w:w="4320"/>
            <w:vAlign w:val="center"/>
            <w:shd w:fill="F0F5F6"/>
          </w:tcPr>
          <w:p>
            <w:pPr>
              <w:spacing w:after="0" w:before="0"/>
            </w:pPr>
            <w:r/>
            <w:r>
              <w:rPr>
                <w:rFonts w:ascii="Aptos" w:hAnsi="Aptos"/>
                <w:b w:val="0"/>
                <w:sz w:val="16"/>
              </w:rPr>
              <w:t>0</w:t>
            </w:r>
          </w:p>
        </w:tc>
        <w:tc>
          <w:tcPr>
            <w:tcW w:type="dxa" w:w="2016"/>
            <w:vAlign w:val="center"/>
            <w:shd w:fill="F0F5F6"/>
          </w:tcPr>
          <w:p>
            <w:pPr>
              <w:spacing w:after="0" w:before="0"/>
            </w:pPr>
            <w:r/>
            <w:r>
              <w:rPr>
                <w:rFonts w:ascii="Aptos" w:hAnsi="Aptos"/>
                <w:b w:val="0"/>
                <w:sz w:val="16"/>
              </w:rPr>
              <w:t>Yes</w:t>
            </w:r>
          </w:p>
        </w:tc>
      </w:tr>
    </w:tbl>
    <w:p>
      <w:pPr>
        <w:spacing w:after="0"/>
      </w:pPr>
    </w:p>
    <w:tbl>
      <w:tblPr>
        <w:tblStyle w:val="TableGrid"/>
        <w:tblW w:type="auto" w:w="0"/>
        <w:jc w:val="center"/>
        <w:tblLayout w:type="fixed"/>
        <w:tblLook w:firstColumn="1" w:firstRow="1" w:lastColumn="0" w:lastRow="0" w:noHBand="0" w:noVBand="1" w:val="04A0"/>
      </w:tblPr>
      <w:tblGrid>
        <w:gridCol w:w="3447"/>
        <w:gridCol w:w="3447"/>
        <w:gridCol w:w="3447"/>
      </w:tblGrid>
      <w:tr>
        <w:tc>
          <w:tcPr>
            <w:tcW w:type="dxa" w:w="1728"/>
            <w:vAlign w:val="center"/>
            <w:shd w:fill="17324D"/>
          </w:tcPr>
          <w:p>
            <w:pPr>
              <w:spacing w:after="0" w:before="0"/>
            </w:pPr>
            <w:r/>
            <w:r>
              <w:rPr>
                <w:rFonts w:ascii="Aptos" w:hAnsi="Aptos"/>
                <w:b/>
                <w:color w:val="FFFFFF"/>
                <w:sz w:val="16"/>
              </w:rPr>
              <w:t>Edge</w:t>
            </w:r>
          </w:p>
        </w:tc>
        <w:tc>
          <w:tcPr>
            <w:tcW w:type="dxa" w:w="5472"/>
            <w:vAlign w:val="center"/>
            <w:shd w:fill="17324D"/>
          </w:tcPr>
          <w:p>
            <w:pPr>
              <w:spacing w:after="0" w:before="0"/>
            </w:pPr>
            <w:r/>
            <w:r>
              <w:rPr>
                <w:rFonts w:ascii="Aptos" w:hAnsi="Aptos"/>
                <w:b/>
                <w:color w:val="FFFFFF"/>
                <w:sz w:val="16"/>
              </w:rPr>
              <w:t>Consistency check</w:t>
            </w:r>
          </w:p>
        </w:tc>
        <w:tc>
          <w:tcPr>
            <w:tcW w:type="dxa" w:w="1728"/>
            <w:vAlign w:val="center"/>
            <w:shd w:fill="17324D"/>
          </w:tcPr>
          <w:p>
            <w:pPr>
              <w:spacing w:after="0" w:before="0"/>
            </w:pPr>
            <w:r/>
            <w:r>
              <w:rPr>
                <w:rFonts w:ascii="Aptos" w:hAnsi="Aptos"/>
                <w:b/>
                <w:color w:val="FFFFFF"/>
                <w:sz w:val="16"/>
              </w:rPr>
              <w:t>Result</w:t>
            </w:r>
          </w:p>
        </w:tc>
      </w:tr>
      <w:tr>
        <w:tc>
          <w:tcPr>
            <w:tcW w:type="dxa" w:w="1728"/>
            <w:vAlign w:val="center"/>
            <w:shd w:fill="F0F5F6"/>
          </w:tcPr>
          <w:p>
            <w:pPr>
              <w:spacing w:after="0" w:before="0"/>
            </w:pPr>
            <w:r/>
            <w:r>
              <w:rPr>
                <w:rFonts w:ascii="Aptos" w:hAnsi="Aptos"/>
                <w:b w:val="0"/>
                <w:sz w:val="16"/>
              </w:rPr>
              <w:t>S → A</w:t>
            </w:r>
          </w:p>
        </w:tc>
        <w:tc>
          <w:tcPr>
            <w:tcW w:type="dxa" w:w="5472"/>
            <w:vAlign w:val="center"/>
            <w:shd w:fill="F0F5F6"/>
          </w:tcPr>
          <w:p>
            <w:pPr>
              <w:spacing w:after="0" w:before="0"/>
            </w:pPr>
            <w:r/>
            <w:r>
              <w:rPr>
                <w:rFonts w:ascii="Aptos" w:hAnsi="Aptos"/>
                <w:b w:val="0"/>
                <w:sz w:val="16"/>
              </w:rPr>
              <w:t>5 ≤ 1+4 = 5</w:t>
            </w:r>
          </w:p>
        </w:tc>
        <w:tc>
          <w:tcPr>
            <w:tcW w:type="dxa" w:w="1728"/>
            <w:vAlign w:val="center"/>
            <w:shd w:fill="F0F5F6"/>
          </w:tcPr>
          <w:p>
            <w:pPr>
              <w:spacing w:after="0" w:before="0"/>
            </w:pPr>
            <w:r/>
            <w:r>
              <w:rPr>
                <w:rFonts w:ascii="Aptos" w:hAnsi="Aptos"/>
                <w:b w:val="0"/>
                <w:sz w:val="16"/>
              </w:rPr>
              <w:t>Pass</w:t>
            </w:r>
          </w:p>
        </w:tc>
      </w:tr>
      <w:tr>
        <w:tc>
          <w:tcPr>
            <w:tcW w:type="dxa" w:w="1728"/>
            <w:vAlign w:val="center"/>
            <w:shd w:fill="FFFFFF"/>
          </w:tcPr>
          <w:p>
            <w:pPr>
              <w:spacing w:after="0" w:before="0"/>
            </w:pPr>
            <w:r/>
            <w:r>
              <w:rPr>
                <w:rFonts w:ascii="Aptos" w:hAnsi="Aptos"/>
                <w:b w:val="0"/>
                <w:sz w:val="16"/>
              </w:rPr>
              <w:t>S → B</w:t>
            </w:r>
          </w:p>
        </w:tc>
        <w:tc>
          <w:tcPr>
            <w:tcW w:type="dxa" w:w="5472"/>
            <w:vAlign w:val="center"/>
            <w:shd w:fill="FFFFFF"/>
          </w:tcPr>
          <w:p>
            <w:pPr>
              <w:spacing w:after="0" w:before="0"/>
            </w:pPr>
            <w:r/>
            <w:r>
              <w:rPr>
                <w:rFonts w:ascii="Aptos" w:hAnsi="Aptos"/>
                <w:b w:val="0"/>
                <w:sz w:val="16"/>
              </w:rPr>
              <w:t>5 ≤ 4+4 = 8</w:t>
            </w:r>
          </w:p>
        </w:tc>
        <w:tc>
          <w:tcPr>
            <w:tcW w:type="dxa" w:w="1728"/>
            <w:vAlign w:val="center"/>
            <w:shd w:fill="FFFFFF"/>
          </w:tcPr>
          <w:p>
            <w:pPr>
              <w:spacing w:after="0" w:before="0"/>
            </w:pPr>
            <w:r/>
            <w:r>
              <w:rPr>
                <w:rFonts w:ascii="Aptos" w:hAnsi="Aptos"/>
                <w:b w:val="0"/>
                <w:sz w:val="16"/>
              </w:rPr>
              <w:t>Pass</w:t>
            </w:r>
          </w:p>
        </w:tc>
      </w:tr>
      <w:tr>
        <w:tc>
          <w:tcPr>
            <w:tcW w:type="dxa" w:w="1728"/>
            <w:vAlign w:val="center"/>
            <w:shd w:fill="F0F5F6"/>
          </w:tcPr>
          <w:p>
            <w:pPr>
              <w:spacing w:after="0" w:before="0"/>
            </w:pPr>
            <w:r/>
            <w:r>
              <w:rPr>
                <w:rFonts w:ascii="Aptos" w:hAnsi="Aptos"/>
                <w:b w:val="0"/>
                <w:sz w:val="16"/>
              </w:rPr>
              <w:t>A → C</w:t>
            </w:r>
          </w:p>
        </w:tc>
        <w:tc>
          <w:tcPr>
            <w:tcW w:type="dxa" w:w="5472"/>
            <w:vAlign w:val="center"/>
            <w:shd w:fill="F0F5F6"/>
          </w:tcPr>
          <w:p>
            <w:pPr>
              <w:spacing w:after="0" w:before="0"/>
            </w:pPr>
            <w:r/>
            <w:r>
              <w:rPr>
                <w:rFonts w:ascii="Aptos" w:hAnsi="Aptos"/>
                <w:b w:val="0"/>
                <w:sz w:val="16"/>
              </w:rPr>
              <w:t>4 ≤ 2+2 = 4</w:t>
            </w:r>
          </w:p>
        </w:tc>
        <w:tc>
          <w:tcPr>
            <w:tcW w:type="dxa" w:w="1728"/>
            <w:vAlign w:val="center"/>
            <w:shd w:fill="F0F5F6"/>
          </w:tcPr>
          <w:p>
            <w:pPr>
              <w:spacing w:after="0" w:before="0"/>
            </w:pPr>
            <w:r/>
            <w:r>
              <w:rPr>
                <w:rFonts w:ascii="Aptos" w:hAnsi="Aptos"/>
                <w:b w:val="0"/>
                <w:sz w:val="16"/>
              </w:rPr>
              <w:t>Pass</w:t>
            </w:r>
          </w:p>
        </w:tc>
      </w:tr>
      <w:tr>
        <w:tc>
          <w:tcPr>
            <w:tcW w:type="dxa" w:w="1728"/>
            <w:vAlign w:val="center"/>
            <w:shd w:fill="FFFFFF"/>
          </w:tcPr>
          <w:p>
            <w:pPr>
              <w:spacing w:after="0" w:before="0"/>
            </w:pPr>
            <w:r/>
            <w:r>
              <w:rPr>
                <w:rFonts w:ascii="Aptos" w:hAnsi="Aptos"/>
                <w:b w:val="0"/>
                <w:sz w:val="16"/>
              </w:rPr>
              <w:t>B → G</w:t>
            </w:r>
          </w:p>
        </w:tc>
        <w:tc>
          <w:tcPr>
            <w:tcW w:type="dxa" w:w="5472"/>
            <w:vAlign w:val="center"/>
            <w:shd w:fill="FFFFFF"/>
          </w:tcPr>
          <w:p>
            <w:pPr>
              <w:spacing w:after="0" w:before="0"/>
            </w:pPr>
            <w:r/>
            <w:r>
              <w:rPr>
                <w:rFonts w:ascii="Aptos" w:hAnsi="Aptos"/>
                <w:b w:val="0"/>
                <w:sz w:val="16"/>
              </w:rPr>
              <w:t>4 ≤ 5+0 = 5</w:t>
            </w:r>
          </w:p>
        </w:tc>
        <w:tc>
          <w:tcPr>
            <w:tcW w:type="dxa" w:w="1728"/>
            <w:vAlign w:val="center"/>
            <w:shd w:fill="FFFFFF"/>
          </w:tcPr>
          <w:p>
            <w:pPr>
              <w:spacing w:after="0" w:before="0"/>
            </w:pPr>
            <w:r/>
            <w:r>
              <w:rPr>
                <w:rFonts w:ascii="Aptos" w:hAnsi="Aptos"/>
                <w:b w:val="0"/>
                <w:sz w:val="16"/>
              </w:rPr>
              <w:t>Pass</w:t>
            </w:r>
          </w:p>
        </w:tc>
      </w:tr>
      <w:tr>
        <w:tc>
          <w:tcPr>
            <w:tcW w:type="dxa" w:w="1728"/>
            <w:vAlign w:val="center"/>
            <w:shd w:fill="F0F5F6"/>
          </w:tcPr>
          <w:p>
            <w:pPr>
              <w:spacing w:after="0" w:before="0"/>
            </w:pPr>
            <w:r/>
            <w:r>
              <w:rPr>
                <w:rFonts w:ascii="Aptos" w:hAnsi="Aptos"/>
                <w:b w:val="0"/>
                <w:sz w:val="16"/>
              </w:rPr>
              <w:t>C → G</w:t>
            </w:r>
          </w:p>
        </w:tc>
        <w:tc>
          <w:tcPr>
            <w:tcW w:type="dxa" w:w="5472"/>
            <w:vAlign w:val="center"/>
            <w:shd w:fill="F0F5F6"/>
          </w:tcPr>
          <w:p>
            <w:pPr>
              <w:spacing w:after="0" w:before="0"/>
            </w:pPr>
            <w:r/>
            <w:r>
              <w:rPr>
                <w:rFonts w:ascii="Aptos" w:hAnsi="Aptos"/>
                <w:b w:val="0"/>
                <w:sz w:val="16"/>
              </w:rPr>
              <w:t>2 ≤ 3+0 = 3</w:t>
            </w:r>
          </w:p>
        </w:tc>
        <w:tc>
          <w:tcPr>
            <w:tcW w:type="dxa" w:w="1728"/>
            <w:vAlign w:val="center"/>
            <w:shd w:fill="F0F5F6"/>
          </w:tcPr>
          <w:p>
            <w:pPr>
              <w:spacing w:after="0" w:before="0"/>
            </w:pPr>
            <w:r/>
            <w:r>
              <w:rPr>
                <w:rFonts w:ascii="Aptos" w:hAnsi="Aptos"/>
                <w:b w:val="0"/>
                <w:sz w:val="16"/>
              </w:rPr>
              <w:t>Pass</w:t>
            </w:r>
          </w:p>
        </w:tc>
      </w:tr>
    </w:tbl>
    <w:p>
      <w:pPr>
        <w:spacing w:after="0"/>
      </w:pPr>
    </w:p>
    <w:p>
      <w:r>
        <w:t>For this graph, the supplied heuristic is admissible because it never exceeds the exact remaining route cost, and consistent because it satisfies h(u) ≤ cost(u,v)+h(v) on every directed edge.</w:t>
      </w:r>
    </w:p>
    <w:p>
      <w:pPr>
        <w:pStyle w:val="Heading1"/>
      </w:pPr>
      <w:r>
        <w:t>3. Single-value overestimate experiment</w:t>
      </w:r>
    </w:p>
    <w:p>
      <w:r>
        <w:t>Only h(C) changes, from 2 to 10. All graph edges and weights, other heuristic values, endpoints, successor order, and queue tie-breaking stay fixed. The actual remaining cost from C to G is 3, so h(C)=10 overestimates it and violates consistency on C→G: 10 ≤ 3+0 is false.</w:t>
      </w:r>
    </w:p>
    <w:tbl>
      <w:tblPr>
        <w:tblStyle w:val="TableGrid"/>
        <w:tblW w:type="auto" w:w="0"/>
        <w:jc w:val="center"/>
        <w:tblLayout w:type="fixed"/>
        <w:tblLook w:firstColumn="1" w:firstRow="1" w:lastColumn="0" w:lastRow="0" w:noHBand="0" w:noVBand="1" w:val="04A0"/>
      </w:tblPr>
      <w:tblGrid>
        <w:gridCol w:w="2068"/>
        <w:gridCol w:w="2068"/>
        <w:gridCol w:w="2068"/>
        <w:gridCol w:w="2068"/>
        <w:gridCol w:w="2068"/>
      </w:tblGrid>
      <w:tr>
        <w:tc>
          <w:tcPr>
            <w:tcW w:type="dxa" w:w="1728"/>
            <w:vAlign w:val="center"/>
            <w:shd w:fill="17324D"/>
          </w:tcPr>
          <w:p>
            <w:pPr>
              <w:spacing w:after="0" w:before="0"/>
            </w:pPr>
            <w:r/>
            <w:r>
              <w:rPr>
                <w:rFonts w:ascii="Aptos" w:hAnsi="Aptos"/>
                <w:b/>
                <w:color w:val="FFFFFF"/>
                <w:sz w:val="15"/>
              </w:rPr>
              <w:t>Heuristic run</w:t>
            </w:r>
          </w:p>
        </w:tc>
        <w:tc>
          <w:tcPr>
            <w:tcW w:type="dxa" w:w="2016"/>
            <w:vAlign w:val="center"/>
            <w:shd w:fill="17324D"/>
          </w:tcPr>
          <w:p>
            <w:pPr>
              <w:spacing w:after="0" w:before="0"/>
            </w:pPr>
            <w:r/>
            <w:r>
              <w:rPr>
                <w:rFonts w:ascii="Aptos" w:hAnsi="Aptos"/>
                <w:b/>
                <w:color w:val="FFFFFF"/>
                <w:sz w:val="15"/>
              </w:rPr>
              <w:t>Processed trace</w:t>
            </w:r>
          </w:p>
        </w:tc>
        <w:tc>
          <w:tcPr>
            <w:tcW w:type="dxa" w:w="2088"/>
            <w:vAlign w:val="center"/>
            <w:shd w:fill="17324D"/>
          </w:tcPr>
          <w:p>
            <w:pPr>
              <w:spacing w:after="0" w:before="0"/>
            </w:pPr>
            <w:r/>
            <w:r>
              <w:rPr>
                <w:rFonts w:ascii="Aptos" w:hAnsi="Aptos"/>
                <w:b/>
                <w:color w:val="FFFFFF"/>
                <w:sz w:val="15"/>
              </w:rPr>
              <w:t>Expanded nodes / count</w:t>
            </w:r>
          </w:p>
        </w:tc>
        <w:tc>
          <w:tcPr>
            <w:tcW w:type="dxa" w:w="2376"/>
            <w:vAlign w:val="center"/>
            <w:shd w:fill="17324D"/>
          </w:tcPr>
          <w:p>
            <w:pPr>
              <w:spacing w:after="0" w:before="0"/>
            </w:pPr>
            <w:r/>
            <w:r>
              <w:rPr>
                <w:rFonts w:ascii="Aptos" w:hAnsi="Aptos"/>
                <w:b/>
                <w:color w:val="FFFFFF"/>
                <w:sz w:val="15"/>
              </w:rPr>
              <w:t>Returned path</w:t>
            </w:r>
          </w:p>
        </w:tc>
        <w:tc>
          <w:tcPr>
            <w:tcW w:type="dxa" w:w="1152"/>
            <w:vAlign w:val="center"/>
            <w:shd w:fill="17324D"/>
          </w:tcPr>
          <w:p>
            <w:pPr>
              <w:spacing w:after="0" w:before="0"/>
            </w:pPr>
            <w:r/>
            <w:r>
              <w:rPr>
                <w:rFonts w:ascii="Aptos" w:hAnsi="Aptos"/>
                <w:b/>
                <w:color w:val="FFFFFF"/>
                <w:sz w:val="15"/>
              </w:rPr>
              <w:t>Path cost</w:t>
            </w:r>
          </w:p>
        </w:tc>
      </w:tr>
      <w:tr>
        <w:tc>
          <w:tcPr>
            <w:tcW w:type="dxa" w:w="1728"/>
            <w:vAlign w:val="center"/>
            <w:shd w:fill="F0F5F6"/>
          </w:tcPr>
          <w:p>
            <w:pPr>
              <w:spacing w:after="0" w:before="0"/>
            </w:pPr>
            <w:r/>
            <w:r>
              <w:rPr>
                <w:rFonts w:ascii="Aptos" w:hAnsi="Aptos"/>
                <w:b w:val="0"/>
                <w:sz w:val="15"/>
              </w:rPr>
              <w:t>Supplied h(C)=2</w:t>
            </w:r>
          </w:p>
        </w:tc>
        <w:tc>
          <w:tcPr>
            <w:tcW w:type="dxa" w:w="2016"/>
            <w:vAlign w:val="center"/>
            <w:shd w:fill="F0F5F6"/>
          </w:tcPr>
          <w:p>
            <w:pPr>
              <w:spacing w:after="0" w:before="0"/>
            </w:pPr>
            <w:r/>
            <w:r>
              <w:rPr>
                <w:rFonts w:ascii="Aptos" w:hAnsi="Aptos"/>
                <w:b w:val="0"/>
                <w:sz w:val="15"/>
              </w:rPr>
              <w:t>S, A, C, G</w:t>
            </w:r>
          </w:p>
        </w:tc>
        <w:tc>
          <w:tcPr>
            <w:tcW w:type="dxa" w:w="2088"/>
            <w:vAlign w:val="center"/>
            <w:shd w:fill="F0F5F6"/>
          </w:tcPr>
          <w:p>
            <w:pPr>
              <w:spacing w:after="0" w:before="0"/>
            </w:pPr>
            <w:r/>
            <w:r>
              <w:rPr>
                <w:rFonts w:ascii="Aptos" w:hAnsi="Aptos"/>
                <w:b w:val="0"/>
                <w:sz w:val="15"/>
              </w:rPr>
              <w:t>S, A, C / 3</w:t>
            </w:r>
          </w:p>
        </w:tc>
        <w:tc>
          <w:tcPr>
            <w:tcW w:type="dxa" w:w="2376"/>
            <w:vAlign w:val="center"/>
            <w:shd w:fill="F0F5F6"/>
          </w:tcPr>
          <w:p>
            <w:pPr>
              <w:spacing w:after="0" w:before="0"/>
            </w:pPr>
            <w:r/>
            <w:r>
              <w:rPr>
                <w:rFonts w:ascii="Aptos" w:hAnsi="Aptos"/>
                <w:b w:val="0"/>
                <w:sz w:val="15"/>
              </w:rPr>
              <w:t>S → A → C → G</w:t>
            </w:r>
          </w:p>
        </w:tc>
        <w:tc>
          <w:tcPr>
            <w:tcW w:type="dxa" w:w="1152"/>
            <w:vAlign w:val="center"/>
            <w:shd w:fill="F0F5F6"/>
          </w:tcPr>
          <w:p>
            <w:pPr>
              <w:spacing w:after="0" w:before="0"/>
            </w:pPr>
            <w:r/>
            <w:r>
              <w:rPr>
                <w:rFonts w:ascii="Aptos" w:hAnsi="Aptos"/>
                <w:b w:val="0"/>
                <w:sz w:val="15"/>
              </w:rPr>
              <w:t>6</w:t>
            </w:r>
          </w:p>
        </w:tc>
      </w:tr>
      <w:tr>
        <w:tc>
          <w:tcPr>
            <w:tcW w:type="dxa" w:w="1728"/>
            <w:vAlign w:val="center"/>
            <w:shd w:fill="FFFFFF"/>
          </w:tcPr>
          <w:p>
            <w:pPr>
              <w:spacing w:after="0" w:before="0"/>
            </w:pPr>
            <w:r/>
            <w:r>
              <w:rPr>
                <w:rFonts w:ascii="Aptos" w:hAnsi="Aptos"/>
                <w:b w:val="0"/>
                <w:sz w:val="15"/>
              </w:rPr>
              <w:t>Changed h(C)=10</w:t>
            </w:r>
          </w:p>
        </w:tc>
        <w:tc>
          <w:tcPr>
            <w:tcW w:type="dxa" w:w="2016"/>
            <w:vAlign w:val="center"/>
            <w:shd w:fill="FFFFFF"/>
          </w:tcPr>
          <w:p>
            <w:pPr>
              <w:spacing w:after="0" w:before="0"/>
            </w:pPr>
            <w:r/>
            <w:r>
              <w:rPr>
                <w:rFonts w:ascii="Aptos" w:hAnsi="Aptos"/>
                <w:b w:val="0"/>
                <w:sz w:val="15"/>
              </w:rPr>
              <w:t>S, A, B, G</w:t>
            </w:r>
          </w:p>
        </w:tc>
        <w:tc>
          <w:tcPr>
            <w:tcW w:type="dxa" w:w="2088"/>
            <w:vAlign w:val="center"/>
            <w:shd w:fill="FFFFFF"/>
          </w:tcPr>
          <w:p>
            <w:pPr>
              <w:spacing w:after="0" w:before="0"/>
            </w:pPr>
            <w:r/>
            <w:r>
              <w:rPr>
                <w:rFonts w:ascii="Aptos" w:hAnsi="Aptos"/>
                <w:b w:val="0"/>
                <w:sz w:val="15"/>
              </w:rPr>
              <w:t>S, A, B / 3</w:t>
            </w:r>
          </w:p>
        </w:tc>
        <w:tc>
          <w:tcPr>
            <w:tcW w:type="dxa" w:w="2376"/>
            <w:vAlign w:val="center"/>
            <w:shd w:fill="FFFFFF"/>
          </w:tcPr>
          <w:p>
            <w:pPr>
              <w:spacing w:after="0" w:before="0"/>
            </w:pPr>
            <w:r/>
            <w:r>
              <w:rPr>
                <w:rFonts w:ascii="Aptos" w:hAnsi="Aptos"/>
                <w:b w:val="0"/>
                <w:sz w:val="15"/>
              </w:rPr>
              <w:t>S → B → G</w:t>
            </w:r>
          </w:p>
        </w:tc>
        <w:tc>
          <w:tcPr>
            <w:tcW w:type="dxa" w:w="1152"/>
            <w:vAlign w:val="center"/>
            <w:shd w:fill="FFFFFF"/>
          </w:tcPr>
          <w:p>
            <w:pPr>
              <w:spacing w:after="0" w:before="0"/>
            </w:pPr>
            <w:r/>
            <w:r>
              <w:rPr>
                <w:rFonts w:ascii="Aptos" w:hAnsi="Aptos"/>
                <w:b w:val="0"/>
                <w:sz w:val="15"/>
              </w:rPr>
              <w:t>9</w:t>
            </w:r>
          </w:p>
        </w:tc>
      </w:tr>
    </w:tbl>
    <w:p>
      <w:pPr>
        <w:spacing w:after="0"/>
      </w:pPr>
    </w:p>
    <w:p>
      <w:r>
        <w:t>After S and A are expanded, the changed heuristic gives C an f value of 3+10=13, while B remains at f=8. A* expands B and inserts G with g=9 and f=9. G is selected before C, so A* returns the cost-9 route although the alternative S→A→C→G costs 6. This concrete run shows that an overestimate can remove the optimality guarantee; an individual run with an overestimate might still happen to return an optimal path, but optimality is no longer guaranteed.</w:t>
      </w:r>
    </w:p>
    <w:p>
      <w:pPr>
        <w:pStyle w:val="Heading1"/>
      </w:pPr>
      <w:r>
        <w:t>Interpretation, limitation, and reflection</w:t>
      </w:r>
    </w:p>
    <w:p>
      <w:r>
        <w:t>The measured expansion counts are 3 for A* and 4 for UCS on this small instance. This supports a narrow comparison for the supplied graph, not a general claim that A* always expands fewer nodes. Performance depends on graph structure and heuristic quality. A real campus route system would need validated travel costs and a defensible distance/time estimate, with updates for closures and changing conditions.</w:t>
      </w:r>
    </w:p>
    <w:p>
      <w:r>
        <w:t>The graph is small enough to verify every route by hand. The lab values are abstract, and the conclusion should not be generalized to actual campus travel. A useful next check is to add larger cases and edge cases with competing paths or stale queue entries, then compare the trace to independent shortest-path costs.</w:t>
      </w:r>
    </w:p>
    <w:p>
      <w:r>
        <w:t>Viva-ready explanation: g is the known cost so far; h is the estimated remaining cost; A* prioritizes their sum. UCS is the same priority-queue method with h=0. Admissibility prevents overestimation of remaining cost; consistency constrains heuristic changes along every edge. Goal processing is visible in the trace but does not count as an expansion here.</w:t>
      </w:r>
    </w:p>
    <w:sectPr w:rsidR="00FC693F" w:rsidRPr="0006063C" w:rsidSect="00034616">
      <w:footerReference w:type="default" r:id="rId9"/>
      <w:pgSz w:w="12240" w:h="15840"/>
      <w:pgMar w:top="864" w:right="950" w:bottom="864"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727A"/>
        <w:sz w:val="16"/>
      </w:rPr>
      <w:t xml:space="preserve">Lab 4 A Star Audit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46C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Star Search Audit and UCS Comparison</dc:title>
  <dc:subject>Manual A* frontier audit, UCS control, and heuristic overestimate experiment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