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1: Dataset Access and Key Column Notes</w:t>
      </w:r>
    </w:p>
    <w:p>
      <w:r>
        <w:rPr>
          <w:b/>
          <w:bCs/>
        </w:rPr>
        <w:t xml:space="preserve">Project:</w:t>
      </w:r>
      <w:r>
        <w:t xml:space="preserve"> California Property Close Price Prediction (IDX Exchange Data Science Internship)</w:t>
      </w:r>
    </w:p>
    <w:p>
      <w:r>
        <w:rPr>
          <w:b/>
          <w:bCs/>
        </w:rPr>
        <w:t xml:space="preserve">Author:</w:t>
      </w:r>
      <w:r>
        <w:t xml:space="preserve"> Ikshit Gupta</w:t>
      </w:r>
    </w:p>
    <w:p>
      <w:r>
        <w:rPr>
          <w:b/>
          <w:bCs/>
        </w:rPr>
        <w:t xml:space="preserve">Date:</w:t>
      </w:r>
      <w:r>
        <w:t xml:space="preserve"> October 1, 2026</w:t>
      </w:r>
    </w:p>
    <w:p>
      <w:r>
        <w:rPr>
          <w:b/>
          <w:bCs/>
        </w:rPr>
        <w:t xml:space="preserve">Sources:</w:t>
      </w:r>
      <w:r>
        <w:t xml:space="preserve"> </w:t>
      </w:r>
      <w:r>
        <w:rPr>
          <w:i/>
          <w:iCs/>
        </w:rPr>
        <w:t xml:space="preserve">Data Science v.4</w:t>
      </w:r>
      <w:r>
        <w:t xml:space="preserve"> (task prompt), </w:t>
      </w:r>
      <w:r>
        <w:rPr>
          <w:i/>
          <w:iCs/>
        </w:rPr>
        <w:t xml:space="preserve">Trestle Property MetaData.pdf</w:t>
      </w:r>
      <w:r>
        <w:t xml:space="preserve"> (field definitions), </w:t>
      </w:r>
      <w:r>
        <w:rPr>
          <w:i/>
          <w:iCs/>
        </w:rPr>
        <w:t xml:space="preserve">AVM Data Science Best Practices v.1</w:t>
      </w:r>
      <w:r>
        <w:t xml:space="preserve">, </w:t>
      </w:r>
      <w:r>
        <w:rPr>
          <w:i/>
          <w:iCs/>
        </w:rPr>
        <w:t xml:space="preserve">Real Estate Data Analyst Primer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</w:pPr>
      <w:r>
        <w:t xml:space="preserve">1. Dataset access: confirmed</w:t>
      </w:r>
    </w:p>
    <w:p>
      <w:r>
        <w:t xml:space="preserve">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CRMLSSold</w:t>
      </w:r>
      <w:r>
        <w:t xml:space="preserve"> files were copied from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/raw/California</w:t>
      </w:r>
      <w:r>
        <w:t xml:space="preserve"> on the IDX Exchange FTP server (FileZilla, port 21) to the local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csv/</w:t>
      </w:r>
      <w:r>
        <w:t xml:space="preserve"> folder. The raw folder on the server was not modified.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4400"/>
      </w:tblGrid>
      <w:tr>
        <w:trPr>
          <w:tblHeader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Sold files (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CRMLSSold*.csv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28 months</w:t>
            </w:r>
            <w:r>
              <w:rPr>
                <w:sz w:val="19"/>
                <w:szCs w:val="19"/>
              </w:rPr>
              <w:t xml:space="preserve">, January 2024 – April 2026 (minimum required: 6)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sold records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615,707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Single-family residential records (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PropertyType = Residential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PropertySubType = SingleFamilyResidence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309,735 (50.3%)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Listing files (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CRMLSListing*.csv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months, same range (not needed for the price model; useful context only)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Metadata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Documentations/Trestle Property MetaData.pdf</w:t>
            </w:r>
            <w:r>
              <w:rPr>
                <w:sz w:val="19"/>
                <w:szCs w:val="19"/>
              </w:rPr>
              <w:t xml:space="preserve"> reviewed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row's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CloseDate</w:t>
            </w:r>
            <w:r>
              <w:rPr>
                <w:sz w:val="19"/>
                <w:szCs w:val="19"/>
              </w:rPr>
              <w:t xml:space="preserve"> falls inside its file's month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MlsStatus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Closed</w:t>
            </w:r>
            <w:r>
              <w:rPr>
                <w:sz w:val="19"/>
                <w:szCs w:val="19"/>
              </w:rPr>
              <w:t xml:space="preserve"> for every sold record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Schema differences between files</w:t>
      </w:r>
      <w:r>
        <w:t xml:space="preserve"> (handled by aligning columns by name when loading):</w:t>
      </w:r>
    </w:p>
    <w:p>
      <w:pPr>
        <w:pStyle w:val="ListParagraph"/>
        <w:numPr>
          <w:ilvl w:val="0"/>
          <w:numId w:val="2"/>
        </w:numPr>
      </w:pPr>
      <w:r>
        <w:t xml:space="preserve">76 columns are common to every sold file.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CRMLSSold202401_filled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202403</w:t>
      </w:r>
      <w:r>
        <w:t xml:space="preserve">–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202407_filled</w:t>
      </w:r>
      <w:r>
        <w:t xml:space="preserve">,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202501_filled</w:t>
      </w:r>
      <w:r>
        <w:t xml:space="preserve"> add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latfilled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lonfilled</w:t>
      </w:r>
      <w:r>
        <w:t xml:space="preserve">: True/False flags marking rows whose coordinates were back-filled.</w:t>
      </w:r>
    </w:p>
    <w:p>
      <w:pPr>
        <w:pStyle w:val="ListParagraph"/>
        <w:numPr>
          <w:ilvl w:val="0"/>
          <w:numId w:val="2"/>
        </w:numPr>
      </w:pPr>
      <w:r>
        <w:t xml:space="preserve">January–July 2024 files include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BuyerAgencyCompensation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BuyerAgencyCompensationType</w:t>
      </w:r>
      <w:r>
        <w:t xml:space="preserve">; from August 2024 these are replaced by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BuyerAgentAOR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ListAgentAOR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February 2026 onward adds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OriginatingSystemName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OriginatingSystemSubName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CRMLSListing202601.csv</w:t>
      </w:r>
      <w:r>
        <w:t xml:space="preserve"> is unusually small (1.3 MB versus about 16–20 MB for other months) and may be an incomplete download. It does not affect the sold-data model.</w:t>
      </w:r>
    </w:p>
    <w:p>
      <w:r>
        <w:rPr>
          <w:b/>
          <w:bCs/>
        </w:rPr>
        <w:t xml:space="preserve">Housekeeping:</w:t>
      </w:r>
      <w:r>
        <w:t xml:space="preserve"> 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csv/</w:t>
      </w:r>
      <w:r>
        <w:t xml:space="preserve"> folder also contains files unrelated to the project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essay 2 final (2).docx</w:t>
      </w:r>
      <w:r>
        <w:t xml:space="preserve">, four empty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.JPG</w:t>
      </w:r>
      <w:r>
        <w:t xml:space="preserve"> files,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libfilezilla.59.dylib</w:t>
      </w:r>
      <w:r>
        <w:t xml:space="preserve">). They should be moved out before the folder is committed to Git.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</w:pPr>
      <w:r>
        <w:t xml:space="preserve">2. Key columns</w:t>
      </w:r>
    </w:p>
    <w:p>
      <w:r>
        <w:t xml:space="preserve">"Missing %" is measured on the 309,735 single-family rows across all 28 months. "Role" is the planned use in the model, following the leakage audit in the AVM best-practices guide (section 04): </w:t>
      </w:r>
      <w:r>
        <w:rPr>
          <w:i/>
          <w:iCs/>
        </w:rPr>
        <w:t xml:space="preserve">a feature is allowed only if it could have been known on the valuation date, before any sale outcome.</w:t>
      </w:r>
    </w:p>
    <w:p>
      <w:pPr>
        <w:pStyle w:val="Heading2"/>
      </w:pPr>
      <w:r>
        <w:t xml:space="preserve">2a.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2439"/>
        <w:gridCol w:w="4330"/>
        <w:gridCol w:w="990"/>
        <w:gridCol w:w="851"/>
      </w:tblGrid>
      <w:tr>
        <w:trPr>
          <w:tblHeader/>
        </w:trPr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 (Trestle metadata)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ClosePrice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amount of money paid by the purchaser to the seller under the agreement.</w:t>
            </w:r>
          </w:p>
        </w:tc>
        <w:tc>
          <w:tcPr>
            <w:tcW w:type="dxa" w:w="4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final sale price. Median $894K, mean $1.30M, heavily right-skewed; log scale is close to normal. 1 zero and 2 missing values; maximum $989.5M is a data-entry error.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&lt;0.01</w:t>
            </w:r>
          </w:p>
        </w:tc>
        <w:tc>
          <w:tcPr>
            <w:tcW w:type="dxa" w:w="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2b. Physical characteristics (intrinsic, known before any sale)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2595"/>
        <w:gridCol w:w="2595"/>
        <w:gridCol w:w="940"/>
        <w:gridCol w:w="1149"/>
      </w:tblGrid>
      <w:tr>
        <w:trPr>
          <w:tblHeader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LivingArea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livable area within the structure (sq ft).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Strongest single physical predictor (Spearman 0.51 with price). Median 1,804 sq ft. Contains zeros and extremes (up to 123,764).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BedroomsTotal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number of bedrooms in the dwelling.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Median 3. Some 0s and implausible values (up to 45).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BathroomsTotalInteger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bathrooms as an integer (a half bath counts as one, so 2.5 baths is stored as 3).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Median 2. Some 0s and implausible values (up to 175).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&lt;0.1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LotSizeSquareFeet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 size in square feet; must agree with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LotSizeArea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LotSizeUnits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Agrees with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LotSizeAcres × 43,560</w:t>
            </w:r>
            <w:r>
              <w:rPr>
                <w:sz w:val="19"/>
                <w:szCs w:val="19"/>
              </w:rPr>
              <w:t xml:space="preserve"> for 99.9% of rows. Very heavy tail (rural parcels). </w:t>
            </w:r>
            <w:r>
              <w:rPr>
                <w:b/>
                <w:bCs/>
                <w:sz w:val="19"/>
                <w:szCs w:val="19"/>
              </w:rPr>
              <w:t xml:space="preserve">Preferred lot-size field.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1.7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LotSizeAcres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 size in acres.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Duplicate of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LotSizeSquareFeet</w:t>
            </w:r>
            <w:r>
              <w:rPr>
                <w:sz w:val="19"/>
                <w:szCs w:val="19"/>
              </w:rPr>
              <w:t xml:space="preserve"> in different units.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1.7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Redundant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LotSizeArea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lot area, in the units given by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LotSizeUnits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LotSizeUnits</w:t>
            </w:r>
            <w:r>
              <w:rPr>
                <w:sz w:val="19"/>
                <w:szCs w:val="19"/>
              </w:rPr>
              <w:t xml:space="preserve"> is not in the extract, and the values mix square feet (97%) and acres (3%). </w:t>
            </w:r>
            <w:r>
              <w:rPr>
                <w:b/>
                <w:bCs/>
                <w:sz w:val="19"/>
                <w:szCs w:val="19"/>
              </w:rPr>
              <w:t xml:space="preserve">Do not use.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1.7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Drop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YearBuilt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Year the main structure was built.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Median 1976. Convert to age at sale (close year minus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YearBuilt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Stories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Number of floors in the property.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12.7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(with missing flag)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Levels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Levels in the unit (One, Two, Multi/Split, etc.).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Categorical text.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9.4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GarageSpaces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Number of spaces in the garage(s).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3.7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ParkingTotal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parking spaces included in the sale.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PoolPrivateYN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Property has a privately owned pool included in the sale.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True/False.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9.6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ViewYN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Property has a view.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True/False.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8.9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FireplaceYN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Property includes a fireplace.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True/False.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AttachedGarageYN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Garage is attached to the dwelling.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True/False.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11.6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NewConstructionYN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Newly constructed and not previously occupied.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True/False.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7.3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AssociationFee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Fee paid to the homeowners' association for upkeep of common areas.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often means "no HOA", so add a missing-indicator flag. Frequency is in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AssociationFeeFrequency</w:t>
            </w:r>
            <w:r>
              <w:rPr>
                <w:sz w:val="19"/>
                <w:szCs w:val="19"/>
              </w:rPr>
              <w:t xml:space="preserve"> (75% missing).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30.2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(with missing flag)</w:t>
            </w:r>
          </w:p>
        </w:tc>
      </w:tr>
      <w:tr>
        <w:trPr>
          <w:tblHeader w:val="false"/>
        </w:trPr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PropertyType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PropertySubType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Broad type (Residential, ResidentialLease, Land, etc.) and subtype (SingleFamilyResidence, Condominium, etc.).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Used only to filter to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Residential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SingleFamilyResidence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2c. Location (fixed attributes, known before any sale)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586"/>
        <w:gridCol w:w="3364"/>
        <w:gridCol w:w="959"/>
        <w:gridCol w:w="1701"/>
      </w:tblGrid>
      <w:tr>
        <w:trPr>
          <w:tblHeader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Latitude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Longitude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Geographic coordinates in decimal degrees.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0.9% missing or outside California. Needed for the Week 6 school-district spatial join.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latfilled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lonfilled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(Not in the metadata.) True/False: coordinates were back-filled.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Present only in the seven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_filled</w:t>
            </w:r>
            <w:r>
              <w:rPr>
                <w:sz w:val="19"/>
                <w:szCs w:val="19"/>
              </w:rPr>
              <w:t xml:space="preserve"> files; 41.9% of rows in those files were back-filled.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Quality flag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CountyOrParish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County.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63 distinct values, more than California's 58 counties, so some labels need cleaning; county medians range from $335K to $2.05M.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City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City in the listing address.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cardinality: use target encoding fit on training data only.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PostalCode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ZIP code.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cardinality: use target encoding or ZIP-level aggregates computed on training data only.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MLSAreaMajor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Major marketing area defined by the MLS.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14.2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HighSchoolDistrict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School district whose catchment includes the property.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ElementarySchoolDistrict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MiddleOrJuniorSchoolDistrict</w:t>
            </w:r>
            <w:r>
              <w:rPr>
                <w:sz w:val="19"/>
                <w:szCs w:val="19"/>
              </w:rPr>
              <w:t xml:space="preserve"> are 100% empty; the Week 6 spatial join replaces these.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26.0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candidate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UnparsedAddress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street address as entered by the agent.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Used only to detect duplicate sales.</w:t>
            </w:r>
          </w:p>
        </w:tc>
        <w:tc>
          <w:tcPr>
            <w:tcW w:type="dxa" w:w="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/ de-duplication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2d. 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2439"/>
        <w:gridCol w:w="2619"/>
        <w:gridCol w:w="979"/>
        <w:gridCol w:w="1323"/>
      </w:tblGrid>
      <w:tr>
        <w:trPr>
          <w:tblHeader/>
        </w:trP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 %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CloseDate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the purchase agreement was fulfilled (contractual date, not an MLS timestamp).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Defines the month used for the chronological train/test split. Month and season become features.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Split key</w:t>
            </w:r>
            <w:r>
              <w:rPr>
                <w:sz w:val="19"/>
                <w:szCs w:val="19"/>
              </w:rPr>
              <w:t xml:space="preserve"> + temporal features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ListingContractDate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the listing agreement was signed with the seller's broker.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 rows close before they were listed (data errors).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Quality checks only</w:t>
            </w:r>
          </w:p>
        </w:tc>
      </w:tr>
      <w:tr>
        <w:trPr>
          <w:tblHeader w:val="false"/>
        </w:trPr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PurchaseContractDate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the buyer and seller signed the purchase agreement; usually 30–45 days before close.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Quality checks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2e. Excluded: target leakage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0"/>
        <w:gridCol w:w="2376"/>
        <w:gridCol w:w="4484"/>
      </w:tblGrid>
      <w:tr>
        <w:trPr>
          <w:tblHeader/>
        </w:trPr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excluded</w:t>
            </w:r>
          </w:p>
        </w:tc>
      </w:tr>
      <w:tr>
        <w:trPr>
          <w:tblHeader w:val="false"/>
        </w:trPr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ListPrice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Current asking price.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0.99 rank correlation with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ClosePrice</w:t>
            </w:r>
            <w:r>
              <w:rPr>
                <w:sz w:val="19"/>
                <w:szCs w:val="19"/>
              </w:rPr>
              <w:t xml:space="preserve">; only exists for on-market homes. The model must also value off-market homes.</w:t>
            </w:r>
          </w:p>
        </w:tc>
      </w:tr>
      <w:tr>
        <w:trPr>
          <w:tblHeader w:val="false"/>
        </w:trPr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OriginalListPrice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Asking price on the original listing agreement.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reason as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ListPrice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DaysOnMarket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Days the listing was on market (MLS rules).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Only exists once a sale process has happened; reflects pricing decisions.</w:t>
            </w:r>
          </w:p>
        </w:tc>
      </w:tr>
      <w:tr>
        <w:trPr>
          <w:tblHeader w:val="false"/>
        </w:trPr>
        <w:tc>
          <w:tcPr>
            <w:tcW w:type="dxa" w:w="3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ContractStatusChangeDate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of the last status change.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Recorded during or after the sale.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2f. Identifiers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3207"/>
        <w:gridCol w:w="5403"/>
      </w:tblGrid>
      <w:tr>
        <w:trPr>
          <w:tblHeader/>
        </w:trPr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ListingKey</w:t>
            </w:r>
          </w:p>
        </w:tc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Primary key of the record in the Trestle Property resource.</w:t>
            </w:r>
          </w:p>
        </w:tc>
        <w:tc>
          <w:tcPr>
            <w:tcW w:type="dxa" w:w="5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260 keys appear in two monthly files, usually with a different close date and price. De-duplicate in Week 3.</w:t>
            </w:r>
          </w:p>
        </w:tc>
      </w:tr>
      <w:tr>
        <w:trPr>
          <w:tblHeader w:val="false"/>
        </w:trPr>
        <w:tc>
          <w:tcPr>
            <w:tcW w:type="dxa" w:w="1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ListingId</w:t>
            </w:r>
          </w:p>
        </w:tc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MLS number shown to agents.</w:t>
            </w:r>
          </w:p>
        </w:tc>
        <w:tc>
          <w:tcPr>
            <w:tcW w:type="dxa" w:w="5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a feature.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2g. Not 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and office fields</w:t>
      </w:r>
      <w: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ListAgent*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BuyerAgent*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CoListAgent*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*OfficeName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*AOR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ListAgentEmail</w:t>
      </w:r>
      <w:r>
        <w:t xml:space="preserve">): describe the transaction rather than the property and can proxy for pricing strategy (best-practices guide: "use cautiously"). Excluded from the model.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Completely empty (100% missing)</w:t>
      </w:r>
      <w:r>
        <w:t xml:space="preserve"> for single-family homes: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TaxAnnualAmount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TaxYear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AboveGradeFinishedArea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CoveredSpaces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FireplacesTotal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BusinessType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WaterfrontYN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ElementarySchoolDistrict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MiddleOrJuniorSchoolDistrict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 90% missing:</w:t>
      </w:r>
      <w:r>
        <w:t xml:space="preserve">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BelowGradeFinishedArea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BasementYN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BuilderName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LotSizeDimensions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BuildingAreaTotal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CoBuyerAgentFirstName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</w:pPr>
      <w:r>
        <w:t xml:space="preserve">3. Takeaways for the next weeks</w:t>
      </w:r>
    </w:p>
    <w:p>
      <w:pPr>
        <w:pStyle w:val="ListParagraph"/>
        <w:numPr>
          <w:ilvl w:val="0"/>
          <w:numId w:val="3"/>
        </w:numPr>
      </w:pPr>
      <w:r>
        <w:t xml:space="preserve">Train and test on single-family residences only; test on </w:t>
      </w:r>
      <w:r>
        <w:rPr>
          <w:b/>
          <w:bCs/>
        </w:rPr>
        <w:t xml:space="preserve">April 2026</w:t>
      </w:r>
      <w:r>
        <w:t xml:space="preserve">, train on the X months before it (X tuned in Week 3).</w:t>
      </w:r>
    </w:p>
    <w:p>
      <w:pPr>
        <w:pStyle w:val="ListParagraph"/>
        <w:numPr>
          <w:ilvl w:val="0"/>
          <w:numId w:val="3"/>
        </w:numPr>
      </w:pPr>
      <w:r>
        <w:t xml:space="preserve">Model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log(ClosePrice)</w:t>
      </w:r>
      <w:r>
        <w:t xml:space="preserve"> or use tree-based models, because the target is heavily skewed.</w:t>
      </w:r>
    </w:p>
    <w:p>
      <w:pPr>
        <w:pStyle w:val="ListParagraph"/>
        <w:numPr>
          <w:ilvl w:val="0"/>
          <w:numId w:val="3"/>
        </w:numPr>
      </w:pPr>
      <w:r>
        <w:t xml:space="preserve">Location is the largest source of variation; county, ZIP and coordinates should all be used, with any target-based encodings fit on training data only.</w:t>
      </w:r>
    </w:p>
    <w:p>
      <w:pPr>
        <w:pStyle w:val="ListParagraph"/>
        <w:numPr>
          <w:ilvl w:val="0"/>
          <w:numId w:val="3"/>
        </w:numPr>
      </w:pPr>
      <w:r>
        <w:t xml:space="preserve">Exclude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ListPrice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OriginalListPrice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DaysOnMarket</w:t>
      </w:r>
      <w:r>
        <w:t xml:space="preserve"> from every model.</w:t>
      </w:r>
    </w:p>
    <w:p>
      <w:pPr>
        <w:pStyle w:val="ListParagraph"/>
        <w:numPr>
          <w:ilvl w:val="0"/>
          <w:numId w:val="3"/>
        </w:numPr>
      </w:pPr>
      <w:r>
        <w:t xml:space="preserve">Remaining open item for Week 1: install Python, Git and an IDE or Google Colab on the local machine, and put this folder under version control (moving the unrelated files out first).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IDX Exchange Internship | Week 1 |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Dataset Access and Key Column Notes</dc:title>
  <dc:creator>Ikshit Gupta</dc:creator>
  <cp:lastModifiedBy>Un-named</cp:lastModifiedBy>
  <cp:revision>1</cp:revision>
  <dcterms:created xsi:type="dcterms:W3CDTF">2026-10-01T20:15:56.818Z</dcterms:created>
  <dcterms:modified xsi:type="dcterms:W3CDTF">2026-10-01T20:15:56.819Z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