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3A6" w14:textId="77777777" w:rsidR="007D72C2" w:rsidRPr="00A537D1" w:rsidRDefault="00A537D1">
      <w:pPr>
        <w:pStyle w:val="Title"/>
        <w:jc w:val="center"/>
        <w:rPr>
          <w:rFonts w:ascii="Arial" w:hAnsi="Arial" w:cs="Arial"/>
          <w:color w:val="000000" w:themeColor="text1"/>
        </w:rPr>
      </w:pPr>
      <w:r w:rsidRPr="00A537D1">
        <w:rPr>
          <w:rFonts w:ascii="Arial" w:hAnsi="Arial" w:cs="Arial"/>
          <w:color w:val="000000" w:themeColor="text1"/>
        </w:rPr>
        <w:t>Business Summary Report: Predictive Insights for Collections Strategy</w:t>
      </w:r>
    </w:p>
    <w:p w14:paraId="2F4337BF"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1. Summary of Predictive Insights</w:t>
      </w:r>
    </w:p>
    <w:tbl>
      <w:tblPr>
        <w:tblStyle w:val="TableGrid"/>
        <w:tblpPr w:leftFromText="180" w:rightFromText="180" w:vertAnchor="page" w:horzAnchor="margin" w:tblpY="4585"/>
        <w:tblW w:w="0" w:type="auto"/>
        <w:tblLook w:val="04A0" w:firstRow="1" w:lastRow="0" w:firstColumn="1" w:lastColumn="0" w:noHBand="0" w:noVBand="1"/>
      </w:tblPr>
      <w:tblGrid>
        <w:gridCol w:w="2254"/>
        <w:gridCol w:w="2212"/>
        <w:gridCol w:w="1526"/>
        <w:gridCol w:w="2638"/>
      </w:tblGrid>
      <w:tr w:rsidR="00BB77D8" w:rsidRPr="006832D6" w14:paraId="76A213C3" w14:textId="77777777" w:rsidTr="00BB77D8">
        <w:trPr>
          <w:trHeight w:val="730"/>
        </w:trPr>
        <w:tc>
          <w:tcPr>
            <w:tcW w:w="0" w:type="auto"/>
            <w:noWrap/>
            <w:hideMark/>
          </w:tcPr>
          <w:p w14:paraId="3FFBBF67" w14:textId="77777777" w:rsidR="00BB77D8" w:rsidRPr="006832D6" w:rsidRDefault="00BB77D8" w:rsidP="00BB77D8">
            <w:pPr>
              <w:rPr>
                <w:rFonts w:ascii="Calibri" w:eastAsia="Times New Roman" w:hAnsi="Calibri" w:cs="Calibri"/>
                <w:b/>
                <w:bCs/>
                <w:color w:val="000000"/>
                <w:lang w:val="en-IN" w:eastAsia="en-IN"/>
              </w:rPr>
            </w:pPr>
            <w:r w:rsidRPr="006832D6">
              <w:rPr>
                <w:rFonts w:ascii="Calibri" w:eastAsia="Times New Roman" w:hAnsi="Calibri" w:cs="Calibri"/>
                <w:b/>
                <w:bCs/>
                <w:color w:val="000000"/>
                <w:sz w:val="24"/>
                <w:szCs w:val="24"/>
                <w:lang w:val="en-IN" w:eastAsia="en-IN"/>
              </w:rPr>
              <w:t>Key Insight</w:t>
            </w:r>
          </w:p>
        </w:tc>
        <w:tc>
          <w:tcPr>
            <w:tcW w:w="0" w:type="auto"/>
            <w:noWrap/>
            <w:hideMark/>
          </w:tcPr>
          <w:p w14:paraId="37EA98A0" w14:textId="77777777" w:rsidR="00BB77D8" w:rsidRPr="006832D6" w:rsidRDefault="00BB77D8" w:rsidP="00BB77D8">
            <w:pPr>
              <w:rPr>
                <w:rFonts w:ascii="Calibri" w:eastAsia="Times New Roman" w:hAnsi="Calibri" w:cs="Calibri"/>
                <w:b/>
                <w:bCs/>
                <w:color w:val="000000"/>
                <w:lang w:val="en-IN" w:eastAsia="en-IN"/>
              </w:rPr>
            </w:pPr>
            <w:r w:rsidRPr="006832D6">
              <w:rPr>
                <w:rFonts w:ascii="Calibri" w:eastAsia="Times New Roman" w:hAnsi="Calibri" w:cs="Calibri"/>
                <w:b/>
                <w:bCs/>
                <w:color w:val="000000"/>
                <w:sz w:val="24"/>
                <w:szCs w:val="24"/>
                <w:lang w:val="en-IN" w:eastAsia="en-IN"/>
              </w:rPr>
              <w:t>Customer Segment</w:t>
            </w:r>
          </w:p>
        </w:tc>
        <w:tc>
          <w:tcPr>
            <w:tcW w:w="0" w:type="auto"/>
            <w:noWrap/>
            <w:hideMark/>
          </w:tcPr>
          <w:p w14:paraId="3DEE1388" w14:textId="77777777" w:rsidR="00BB77D8" w:rsidRPr="006832D6" w:rsidRDefault="00BB77D8" w:rsidP="00BB77D8">
            <w:pPr>
              <w:rPr>
                <w:rFonts w:ascii="Calibri" w:eastAsia="Times New Roman" w:hAnsi="Calibri" w:cs="Calibri"/>
                <w:b/>
                <w:bCs/>
                <w:color w:val="000000"/>
                <w:lang w:val="en-IN" w:eastAsia="en-IN"/>
              </w:rPr>
            </w:pPr>
            <w:r w:rsidRPr="006832D6">
              <w:rPr>
                <w:rFonts w:ascii="Calibri" w:eastAsia="Times New Roman" w:hAnsi="Calibri" w:cs="Calibri"/>
                <w:b/>
                <w:bCs/>
                <w:color w:val="000000"/>
                <w:sz w:val="24"/>
                <w:szCs w:val="24"/>
                <w:lang w:val="en-IN" w:eastAsia="en-IN"/>
              </w:rPr>
              <w:t>Influencing Variables</w:t>
            </w:r>
          </w:p>
        </w:tc>
        <w:tc>
          <w:tcPr>
            <w:tcW w:w="0" w:type="auto"/>
          </w:tcPr>
          <w:p w14:paraId="71702756" w14:textId="77777777" w:rsidR="00BB77D8" w:rsidRPr="00BB77D8" w:rsidRDefault="00BB77D8" w:rsidP="00BB77D8">
            <w:pPr>
              <w:rPr>
                <w:rFonts w:ascii="Calibri" w:eastAsia="Times New Roman" w:hAnsi="Calibri" w:cs="Calibri"/>
                <w:b/>
                <w:bCs/>
                <w:color w:val="000000"/>
                <w:sz w:val="24"/>
                <w:szCs w:val="24"/>
                <w:lang w:val="en-IN" w:eastAsia="en-IN"/>
              </w:rPr>
            </w:pPr>
            <w:r w:rsidRPr="00BB77D8">
              <w:rPr>
                <w:rFonts w:ascii="Calibri" w:eastAsia="Times New Roman" w:hAnsi="Calibri" w:cs="Calibri"/>
                <w:b/>
                <w:bCs/>
                <w:color w:val="000000"/>
                <w:sz w:val="24"/>
                <w:szCs w:val="24"/>
                <w:lang w:val="en-IN" w:eastAsia="en-IN"/>
              </w:rPr>
              <w:t>Potential impact</w:t>
            </w:r>
          </w:p>
        </w:tc>
      </w:tr>
      <w:tr w:rsidR="00BB77D8" w:rsidRPr="006832D6" w14:paraId="17F84C1E" w14:textId="77777777" w:rsidTr="00BB77D8">
        <w:trPr>
          <w:trHeight w:val="730"/>
        </w:trPr>
        <w:tc>
          <w:tcPr>
            <w:tcW w:w="0" w:type="auto"/>
            <w:noWrap/>
            <w:hideMark/>
          </w:tcPr>
          <w:p w14:paraId="42DD140E"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High credit utilization increases delinquency risk</w:t>
            </w:r>
          </w:p>
        </w:tc>
        <w:tc>
          <w:tcPr>
            <w:tcW w:w="0" w:type="auto"/>
            <w:noWrap/>
            <w:hideMark/>
          </w:tcPr>
          <w:p w14:paraId="36572C70"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Customers with credit utilization &gt; 60%</w:t>
            </w:r>
          </w:p>
        </w:tc>
        <w:tc>
          <w:tcPr>
            <w:tcW w:w="0" w:type="auto"/>
            <w:noWrap/>
            <w:hideMark/>
          </w:tcPr>
          <w:p w14:paraId="495085E0"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Credit Utilization, Debt-to-Income Ratio</w:t>
            </w:r>
          </w:p>
        </w:tc>
        <w:tc>
          <w:tcPr>
            <w:tcW w:w="0" w:type="auto"/>
          </w:tcPr>
          <w:tbl>
            <w:tblPr>
              <w:tblW w:w="6500" w:type="dxa"/>
              <w:tblLook w:val="04A0" w:firstRow="1" w:lastRow="0" w:firstColumn="1" w:lastColumn="0" w:noHBand="0" w:noVBand="1"/>
            </w:tblPr>
            <w:tblGrid>
              <w:gridCol w:w="2422"/>
            </w:tblGrid>
            <w:tr w:rsidR="00BB77D8" w:rsidRPr="00BB77D8" w14:paraId="1C6599D8" w14:textId="77777777" w:rsidTr="00914C1E">
              <w:trPr>
                <w:trHeight w:val="288"/>
              </w:trPr>
              <w:tc>
                <w:tcPr>
                  <w:tcW w:w="6500" w:type="dxa"/>
                  <w:tcBorders>
                    <w:top w:val="nil"/>
                    <w:left w:val="nil"/>
                    <w:bottom w:val="nil"/>
                    <w:right w:val="nil"/>
                  </w:tcBorders>
                  <w:noWrap/>
                  <w:vAlign w:val="bottom"/>
                  <w:hideMark/>
                </w:tcPr>
                <w:p w14:paraId="312CBD44" w14:textId="7777777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p>
              </w:tc>
            </w:tr>
            <w:tr w:rsidR="00BB77D8" w:rsidRPr="00BB77D8" w14:paraId="22994384" w14:textId="77777777" w:rsidTr="00914C1E">
              <w:trPr>
                <w:trHeight w:val="288"/>
              </w:trPr>
              <w:tc>
                <w:tcPr>
                  <w:tcW w:w="6500" w:type="dxa"/>
                  <w:tcBorders>
                    <w:top w:val="nil"/>
                    <w:left w:val="nil"/>
                    <w:bottom w:val="nil"/>
                    <w:right w:val="nil"/>
                  </w:tcBorders>
                  <w:noWrap/>
                  <w:vAlign w:val="bottom"/>
                  <w:hideMark/>
                </w:tcPr>
                <w:p w14:paraId="00CBB988" w14:textId="4283546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r w:rsidRPr="00BB77D8">
                    <w:rPr>
                      <w:rFonts w:eastAsia="Times New Roman" w:cs="Calibri"/>
                      <w:color w:val="000000"/>
                      <w:lang w:val="en-IN" w:eastAsia="en-IN"/>
                    </w:rPr>
                    <w:t>H</w:t>
                  </w:r>
                  <w:r w:rsidRPr="00BB77D8">
                    <w:rPr>
                      <w:rFonts w:eastAsia="Times New Roman" w:cs="Calibri"/>
                      <w:color w:val="000000"/>
                      <w:lang w:val="en-IN" w:eastAsia="en-IN"/>
                    </w:rPr>
                    <w:t>igher risk of default, targeted intervention needed</w:t>
                  </w:r>
                </w:p>
              </w:tc>
            </w:tr>
          </w:tbl>
          <w:p w14:paraId="6CBFDFC4" w14:textId="77777777" w:rsidR="00BB77D8" w:rsidRPr="00BB77D8" w:rsidRDefault="00BB77D8" w:rsidP="00BB77D8">
            <w:pPr>
              <w:rPr>
                <w:rFonts w:eastAsia="Times New Roman" w:cs="Calibri"/>
                <w:color w:val="000000"/>
                <w:lang w:val="en-IN" w:eastAsia="en-IN"/>
              </w:rPr>
            </w:pPr>
          </w:p>
        </w:tc>
      </w:tr>
      <w:tr w:rsidR="00BB77D8" w:rsidRPr="006832D6" w14:paraId="16842344" w14:textId="77777777" w:rsidTr="00BB77D8">
        <w:trPr>
          <w:trHeight w:val="730"/>
        </w:trPr>
        <w:tc>
          <w:tcPr>
            <w:tcW w:w="0" w:type="auto"/>
            <w:noWrap/>
            <w:hideMark/>
          </w:tcPr>
          <w:p w14:paraId="2B8CD7F7"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Short account tenure linked to higher delinquency</w:t>
            </w:r>
          </w:p>
        </w:tc>
        <w:tc>
          <w:tcPr>
            <w:tcW w:w="0" w:type="auto"/>
            <w:noWrap/>
            <w:hideMark/>
          </w:tcPr>
          <w:p w14:paraId="5545F9FE"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New credit customers (tenure &lt; 12 months)</w:t>
            </w:r>
          </w:p>
        </w:tc>
        <w:tc>
          <w:tcPr>
            <w:tcW w:w="0" w:type="auto"/>
            <w:noWrap/>
            <w:hideMark/>
          </w:tcPr>
          <w:p w14:paraId="78946840"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Account Tenure, Missed Payments</w:t>
            </w:r>
          </w:p>
        </w:tc>
        <w:tc>
          <w:tcPr>
            <w:tcW w:w="0" w:type="auto"/>
          </w:tcPr>
          <w:tbl>
            <w:tblPr>
              <w:tblW w:w="2569" w:type="dxa"/>
              <w:tblLook w:val="04A0" w:firstRow="1" w:lastRow="0" w:firstColumn="1" w:lastColumn="0" w:noHBand="0" w:noVBand="1"/>
            </w:tblPr>
            <w:tblGrid>
              <w:gridCol w:w="2422"/>
            </w:tblGrid>
            <w:tr w:rsidR="00BB77D8" w:rsidRPr="00BB77D8" w14:paraId="21BD1A4E" w14:textId="77777777" w:rsidTr="00914C1E">
              <w:trPr>
                <w:trHeight w:val="288"/>
              </w:trPr>
              <w:tc>
                <w:tcPr>
                  <w:tcW w:w="2569" w:type="dxa"/>
                  <w:tcBorders>
                    <w:top w:val="nil"/>
                    <w:left w:val="nil"/>
                    <w:bottom w:val="nil"/>
                    <w:right w:val="nil"/>
                  </w:tcBorders>
                  <w:noWrap/>
                  <w:vAlign w:val="bottom"/>
                  <w:hideMark/>
                </w:tcPr>
                <w:p w14:paraId="70705D6D" w14:textId="7777777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r w:rsidRPr="00BB77D8">
                    <w:rPr>
                      <w:rFonts w:eastAsia="Times New Roman" w:cs="Calibri"/>
                      <w:color w:val="000000"/>
                      <w:lang w:val="en-IN" w:eastAsia="en-IN"/>
                    </w:rPr>
                    <w:t>Limited credit history increases uncertainty, careful monitoring required</w:t>
                  </w:r>
                </w:p>
              </w:tc>
            </w:tr>
          </w:tbl>
          <w:p w14:paraId="6EA6F7FA" w14:textId="77777777" w:rsidR="00BB77D8" w:rsidRPr="00BB77D8" w:rsidRDefault="00BB77D8" w:rsidP="00BB77D8">
            <w:pPr>
              <w:rPr>
                <w:rFonts w:eastAsia="Times New Roman" w:cs="Calibri"/>
                <w:color w:val="000000"/>
                <w:lang w:val="en-IN" w:eastAsia="en-IN"/>
              </w:rPr>
            </w:pPr>
          </w:p>
        </w:tc>
      </w:tr>
      <w:tr w:rsidR="00BB77D8" w:rsidRPr="006832D6" w14:paraId="2A54703A" w14:textId="77777777" w:rsidTr="00BB77D8">
        <w:trPr>
          <w:trHeight w:val="730"/>
        </w:trPr>
        <w:tc>
          <w:tcPr>
            <w:tcW w:w="0" w:type="auto"/>
            <w:noWrap/>
            <w:hideMark/>
          </w:tcPr>
          <w:p w14:paraId="66499B7A"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Higher debt-to-income ratio correlates with default likelihood</w:t>
            </w:r>
          </w:p>
        </w:tc>
        <w:tc>
          <w:tcPr>
            <w:tcW w:w="0" w:type="auto"/>
            <w:noWrap/>
            <w:hideMark/>
          </w:tcPr>
          <w:p w14:paraId="30DE84DE"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Customers with debt-to-income ratio &gt; 50%</w:t>
            </w:r>
          </w:p>
        </w:tc>
        <w:tc>
          <w:tcPr>
            <w:tcW w:w="0" w:type="auto"/>
            <w:noWrap/>
            <w:hideMark/>
          </w:tcPr>
          <w:p w14:paraId="639C018D"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Debt-to-Income Ratio, Income</w:t>
            </w:r>
          </w:p>
        </w:tc>
        <w:tc>
          <w:tcPr>
            <w:tcW w:w="0" w:type="auto"/>
          </w:tcPr>
          <w:tbl>
            <w:tblPr>
              <w:tblW w:w="2569" w:type="dxa"/>
              <w:tblLook w:val="04A0" w:firstRow="1" w:lastRow="0" w:firstColumn="1" w:lastColumn="0" w:noHBand="0" w:noVBand="1"/>
            </w:tblPr>
            <w:tblGrid>
              <w:gridCol w:w="2422"/>
            </w:tblGrid>
            <w:tr w:rsidR="00BB77D8" w:rsidRPr="00BB77D8" w14:paraId="271EDEBB" w14:textId="77777777" w:rsidTr="00914C1E">
              <w:trPr>
                <w:trHeight w:val="288"/>
              </w:trPr>
              <w:tc>
                <w:tcPr>
                  <w:tcW w:w="2569" w:type="dxa"/>
                  <w:tcBorders>
                    <w:top w:val="nil"/>
                    <w:left w:val="nil"/>
                    <w:bottom w:val="nil"/>
                    <w:right w:val="nil"/>
                  </w:tcBorders>
                  <w:noWrap/>
                  <w:vAlign w:val="bottom"/>
                  <w:hideMark/>
                </w:tcPr>
                <w:p w14:paraId="72F4744F" w14:textId="7777777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r w:rsidRPr="00BB77D8">
                    <w:rPr>
                      <w:rFonts w:eastAsia="Times New Roman" w:cs="Calibri"/>
                      <w:color w:val="000000"/>
                      <w:lang w:val="en-IN" w:eastAsia="en-IN"/>
                    </w:rPr>
                    <w:t>Financial stress, potential payment difficulties</w:t>
                  </w:r>
                </w:p>
              </w:tc>
            </w:tr>
          </w:tbl>
          <w:p w14:paraId="6653724A" w14:textId="77777777" w:rsidR="00BB77D8" w:rsidRPr="00BB77D8" w:rsidRDefault="00BB77D8" w:rsidP="00BB77D8">
            <w:pPr>
              <w:rPr>
                <w:rFonts w:eastAsia="Times New Roman" w:cs="Calibri"/>
                <w:color w:val="000000"/>
                <w:lang w:val="en-IN" w:eastAsia="en-IN"/>
              </w:rPr>
            </w:pPr>
          </w:p>
        </w:tc>
      </w:tr>
      <w:tr w:rsidR="00BB77D8" w:rsidRPr="006832D6" w14:paraId="4449B59A" w14:textId="77777777" w:rsidTr="00BB77D8">
        <w:trPr>
          <w:trHeight w:val="730"/>
        </w:trPr>
        <w:tc>
          <w:tcPr>
            <w:tcW w:w="0" w:type="auto"/>
            <w:noWrap/>
            <w:hideMark/>
          </w:tcPr>
          <w:p w14:paraId="046237C4"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Frequent missed payments predict delinquency</w:t>
            </w:r>
          </w:p>
        </w:tc>
        <w:tc>
          <w:tcPr>
            <w:tcW w:w="0" w:type="auto"/>
            <w:noWrap/>
            <w:hideMark/>
          </w:tcPr>
          <w:p w14:paraId="470213BF"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Customers with 3 or more missed payments in last 6 months</w:t>
            </w:r>
          </w:p>
        </w:tc>
        <w:tc>
          <w:tcPr>
            <w:tcW w:w="0" w:type="auto"/>
            <w:noWrap/>
            <w:hideMark/>
          </w:tcPr>
          <w:p w14:paraId="35BC7369"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Missed Payments, Credit Score</w:t>
            </w:r>
          </w:p>
        </w:tc>
        <w:tc>
          <w:tcPr>
            <w:tcW w:w="0" w:type="auto"/>
          </w:tcPr>
          <w:tbl>
            <w:tblPr>
              <w:tblW w:w="6500" w:type="dxa"/>
              <w:tblLook w:val="04A0" w:firstRow="1" w:lastRow="0" w:firstColumn="1" w:lastColumn="0" w:noHBand="0" w:noVBand="1"/>
            </w:tblPr>
            <w:tblGrid>
              <w:gridCol w:w="2422"/>
            </w:tblGrid>
            <w:tr w:rsidR="00BB77D8" w:rsidRPr="00BB77D8" w14:paraId="4D76D06C" w14:textId="77777777" w:rsidTr="00914C1E">
              <w:trPr>
                <w:trHeight w:val="288"/>
              </w:trPr>
              <w:tc>
                <w:tcPr>
                  <w:tcW w:w="6500" w:type="dxa"/>
                  <w:tcBorders>
                    <w:top w:val="nil"/>
                    <w:left w:val="nil"/>
                    <w:bottom w:val="nil"/>
                    <w:right w:val="nil"/>
                  </w:tcBorders>
                  <w:noWrap/>
                  <w:vAlign w:val="bottom"/>
                  <w:hideMark/>
                </w:tcPr>
                <w:p w14:paraId="19A441A3" w14:textId="7777777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r w:rsidRPr="00BB77D8">
                    <w:rPr>
                      <w:rFonts w:eastAsia="Times New Roman" w:cs="Calibri"/>
                      <w:color w:val="000000"/>
                      <w:lang w:val="en-IN" w:eastAsia="en-IN"/>
                    </w:rPr>
                    <w:t>Payment reliability issues, risk mitigation needed</w:t>
                  </w:r>
                </w:p>
              </w:tc>
            </w:tr>
            <w:tr w:rsidR="00BB77D8" w:rsidRPr="00BB77D8" w14:paraId="7EED9282" w14:textId="77777777" w:rsidTr="00914C1E">
              <w:trPr>
                <w:trHeight w:val="288"/>
              </w:trPr>
              <w:tc>
                <w:tcPr>
                  <w:tcW w:w="6500" w:type="dxa"/>
                  <w:tcBorders>
                    <w:top w:val="nil"/>
                    <w:left w:val="nil"/>
                    <w:bottom w:val="nil"/>
                    <w:right w:val="nil"/>
                  </w:tcBorders>
                  <w:noWrap/>
                  <w:vAlign w:val="bottom"/>
                  <w:hideMark/>
                </w:tcPr>
                <w:p w14:paraId="6226A0A4" w14:textId="77777777" w:rsidR="00BB77D8" w:rsidRPr="00BB77D8" w:rsidRDefault="00BB77D8" w:rsidP="00BB77D8">
                  <w:pPr>
                    <w:framePr w:hSpace="180" w:wrap="around" w:vAnchor="page" w:hAnchor="margin" w:y="4585"/>
                    <w:spacing w:after="0" w:line="240" w:lineRule="auto"/>
                    <w:rPr>
                      <w:rFonts w:eastAsia="Times New Roman" w:cs="Calibri"/>
                      <w:color w:val="000000"/>
                      <w:lang w:val="en-IN" w:eastAsia="en-IN"/>
                    </w:rPr>
                  </w:pPr>
                </w:p>
              </w:tc>
            </w:tr>
          </w:tbl>
          <w:p w14:paraId="7B1A8ABF" w14:textId="77777777" w:rsidR="00BB77D8" w:rsidRPr="00BB77D8" w:rsidRDefault="00BB77D8" w:rsidP="00BB77D8">
            <w:pPr>
              <w:rPr>
                <w:rFonts w:eastAsia="Times New Roman" w:cs="Calibri"/>
                <w:color w:val="000000"/>
                <w:lang w:val="en-IN" w:eastAsia="en-IN"/>
              </w:rPr>
            </w:pPr>
          </w:p>
        </w:tc>
      </w:tr>
      <w:tr w:rsidR="00BB77D8" w:rsidRPr="006832D6" w14:paraId="72281822" w14:textId="77777777" w:rsidTr="00BB77D8">
        <w:trPr>
          <w:trHeight w:val="730"/>
        </w:trPr>
        <w:tc>
          <w:tcPr>
            <w:tcW w:w="0" w:type="auto"/>
            <w:noWrap/>
            <w:hideMark/>
          </w:tcPr>
          <w:p w14:paraId="5AC8A44B"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Lower credit scores increase credit risk</w:t>
            </w:r>
          </w:p>
        </w:tc>
        <w:tc>
          <w:tcPr>
            <w:tcW w:w="0" w:type="auto"/>
            <w:noWrap/>
            <w:hideMark/>
          </w:tcPr>
          <w:p w14:paraId="5E53B8CC" w14:textId="77777777" w:rsidR="00BB77D8" w:rsidRPr="006832D6" w:rsidRDefault="00BB77D8" w:rsidP="00BB77D8">
            <w:pPr>
              <w:rPr>
                <w:rFonts w:eastAsia="Times New Roman" w:cs="Calibri"/>
                <w:color w:val="000000"/>
                <w:lang w:val="en-IN" w:eastAsia="en-IN"/>
              </w:rPr>
            </w:pPr>
            <w:r w:rsidRPr="006832D6">
              <w:rPr>
                <w:rFonts w:eastAsia="Times New Roman" w:cs="Calibri"/>
                <w:color w:val="000000"/>
                <w:lang w:val="en-IN" w:eastAsia="en-IN"/>
              </w:rPr>
              <w:t>Customers with credit scores below threshold</w:t>
            </w:r>
          </w:p>
        </w:tc>
        <w:tc>
          <w:tcPr>
            <w:tcW w:w="0" w:type="auto"/>
            <w:noWrap/>
            <w:hideMark/>
          </w:tcPr>
          <w:p w14:paraId="4CE544FF" w14:textId="77777777" w:rsidR="00BB77D8" w:rsidRPr="006832D6" w:rsidRDefault="00BB77D8" w:rsidP="00BB77D8">
            <w:pPr>
              <w:rPr>
                <w:rFonts w:eastAsia="Times New Roman" w:cs="Calibri"/>
                <w:color w:val="000000"/>
                <w:lang w:val="en-IN" w:eastAsia="en-IN"/>
              </w:rPr>
            </w:pPr>
            <w:r w:rsidRPr="00BB77D8">
              <w:rPr>
                <w:rFonts w:eastAsia="Times New Roman" w:cs="Calibri"/>
                <w:color w:val="000000"/>
                <w:lang w:val="en-IN" w:eastAsia="en-IN"/>
              </w:rPr>
              <w:t xml:space="preserve"> Credit card, Loan      balance                                                                      </w:t>
            </w:r>
          </w:p>
        </w:tc>
        <w:tc>
          <w:tcPr>
            <w:tcW w:w="0" w:type="auto"/>
          </w:tcPr>
          <w:p w14:paraId="1294D124" w14:textId="77777777" w:rsidR="00BB77D8" w:rsidRPr="00BB77D8" w:rsidRDefault="00BB77D8" w:rsidP="00BB77D8">
            <w:pPr>
              <w:rPr>
                <w:rFonts w:eastAsia="Times New Roman" w:cs="Calibri"/>
                <w:color w:val="000000"/>
                <w:lang w:val="en-IN" w:eastAsia="en-IN"/>
              </w:rPr>
            </w:pPr>
            <w:r w:rsidRPr="00BB77D8">
              <w:rPr>
                <w:rFonts w:eastAsia="Times New Roman" w:cs="Calibri"/>
                <w:color w:val="000000"/>
                <w:lang w:val="en-IN" w:eastAsia="en-IN"/>
              </w:rPr>
              <w:t>Higher probability of default, need for stricter credit policies</w:t>
            </w:r>
          </w:p>
        </w:tc>
      </w:tr>
    </w:tbl>
    <w:p w14:paraId="40BE55F5" w14:textId="630C4FD5" w:rsidR="007D72C2" w:rsidRDefault="00BB77D8">
      <w:pPr>
        <w:rPr>
          <w:rFonts w:ascii="Arial" w:hAnsi="Arial" w:cs="Arial"/>
          <w:color w:val="000000" w:themeColor="text1"/>
        </w:rPr>
      </w:pPr>
      <w:r w:rsidRPr="00A537D1">
        <w:rPr>
          <w:rFonts w:ascii="Arial" w:hAnsi="Arial" w:cs="Arial"/>
          <w:color w:val="000000" w:themeColor="text1"/>
        </w:rPr>
        <w:t xml:space="preserve"> </w:t>
      </w:r>
    </w:p>
    <w:p w14:paraId="5327C1B9" w14:textId="73E8AA93" w:rsidR="00BB77D8" w:rsidRPr="009E247F" w:rsidRDefault="00BB77D8" w:rsidP="00BB77D8">
      <w:pPr>
        <w:pStyle w:val="ListParagraph"/>
        <w:numPr>
          <w:ilvl w:val="0"/>
          <w:numId w:val="10"/>
        </w:numPr>
        <w:rPr>
          <w:rFonts w:cs="Arial"/>
          <w:color w:val="000000" w:themeColor="text1"/>
          <w:sz w:val="24"/>
          <w:szCs w:val="24"/>
        </w:rPr>
      </w:pPr>
      <w:r w:rsidRPr="009E247F">
        <w:rPr>
          <w:rFonts w:cs="Arial"/>
          <w:color w:val="000000" w:themeColor="text1"/>
          <w:sz w:val="24"/>
          <w:szCs w:val="24"/>
        </w:rPr>
        <w:t>Based on the dataset analysis, the</w:t>
      </w:r>
      <w:r w:rsidRPr="009E247F">
        <w:rPr>
          <w:rFonts w:cs="Arial"/>
          <w:b/>
          <w:bCs/>
          <w:color w:val="000000" w:themeColor="text1"/>
          <w:sz w:val="24"/>
          <w:szCs w:val="24"/>
        </w:rPr>
        <w:t xml:space="preserve"> top </w:t>
      </w:r>
      <w:r w:rsidR="009E247F" w:rsidRPr="009E247F">
        <w:rPr>
          <w:rFonts w:cs="Arial"/>
          <w:b/>
          <w:bCs/>
          <w:color w:val="000000" w:themeColor="text1"/>
          <w:sz w:val="24"/>
          <w:szCs w:val="24"/>
        </w:rPr>
        <w:t xml:space="preserve">three </w:t>
      </w:r>
      <w:r w:rsidRPr="009E247F">
        <w:rPr>
          <w:rFonts w:cs="Arial"/>
          <w:color w:val="000000" w:themeColor="text1"/>
          <w:sz w:val="24"/>
          <w:szCs w:val="24"/>
        </w:rPr>
        <w:t>predictors of customer delinquency are credit utilization, account tenure, and debt-to-income ratio.</w:t>
      </w:r>
    </w:p>
    <w:p w14:paraId="22F81B06" w14:textId="68950D6A" w:rsidR="00BB77D8" w:rsidRPr="009E247F" w:rsidRDefault="00BB77D8" w:rsidP="00BB77D8">
      <w:pPr>
        <w:pStyle w:val="ListParagraph"/>
        <w:numPr>
          <w:ilvl w:val="0"/>
          <w:numId w:val="10"/>
        </w:numPr>
        <w:rPr>
          <w:rFonts w:cs="Arial"/>
          <w:color w:val="000000" w:themeColor="text1"/>
          <w:sz w:val="24"/>
          <w:szCs w:val="24"/>
        </w:rPr>
      </w:pPr>
      <w:r w:rsidRPr="009E247F">
        <w:rPr>
          <w:rFonts w:cs="Arial"/>
          <w:color w:val="000000" w:themeColor="text1"/>
          <w:sz w:val="24"/>
          <w:szCs w:val="24"/>
        </w:rPr>
        <w:t xml:space="preserve">Higher credit utilization and higher debt-to-income ratio are associated with increased delinquency risk, while longer account tenure reduces risk. </w:t>
      </w:r>
    </w:p>
    <w:p w14:paraId="3AAB19A4" w14:textId="77777777" w:rsidR="00BB77D8" w:rsidRPr="009E247F" w:rsidRDefault="00BB77D8" w:rsidP="00BB77D8">
      <w:pPr>
        <w:pStyle w:val="ListParagraph"/>
        <w:numPr>
          <w:ilvl w:val="0"/>
          <w:numId w:val="10"/>
        </w:numPr>
        <w:rPr>
          <w:rFonts w:cs="Arial"/>
          <w:color w:val="000000" w:themeColor="text1"/>
          <w:sz w:val="24"/>
          <w:szCs w:val="24"/>
        </w:rPr>
      </w:pPr>
      <w:r w:rsidRPr="009E247F">
        <w:rPr>
          <w:rFonts w:cs="Arial"/>
          <w:color w:val="000000" w:themeColor="text1"/>
          <w:sz w:val="24"/>
          <w:szCs w:val="24"/>
        </w:rPr>
        <w:t xml:space="preserve">Income, missed payments, and credit score also show predictive influence, with higher income and lower missed payments slightly linked to lower delinquency. </w:t>
      </w:r>
    </w:p>
    <w:p w14:paraId="6EAAD2AA" w14:textId="2331703A" w:rsidR="00BB77D8" w:rsidRPr="009E247F" w:rsidRDefault="00BB77D8" w:rsidP="00BB77D8">
      <w:pPr>
        <w:pStyle w:val="ListParagraph"/>
        <w:numPr>
          <w:ilvl w:val="0"/>
          <w:numId w:val="10"/>
        </w:numPr>
        <w:rPr>
          <w:rFonts w:cs="Arial"/>
          <w:color w:val="000000" w:themeColor="text1"/>
          <w:sz w:val="24"/>
          <w:szCs w:val="24"/>
        </w:rPr>
      </w:pPr>
      <w:r w:rsidRPr="009E247F">
        <w:rPr>
          <w:rFonts w:cs="Arial"/>
          <w:color w:val="000000" w:themeColor="text1"/>
          <w:sz w:val="24"/>
          <w:szCs w:val="24"/>
        </w:rPr>
        <w:t>Loan balance has the least effect among the variables analyzed.</w:t>
      </w:r>
    </w:p>
    <w:p w14:paraId="50978634" w14:textId="77777777" w:rsidR="00A537D1" w:rsidRPr="00A537D1" w:rsidRDefault="00A537D1">
      <w:pPr>
        <w:rPr>
          <w:rFonts w:ascii="Arial" w:hAnsi="Arial" w:cs="Arial"/>
          <w:color w:val="000000" w:themeColor="text1"/>
        </w:rPr>
      </w:pPr>
    </w:p>
    <w:p w14:paraId="72833B3F" w14:textId="77777777" w:rsidR="007D72C2" w:rsidRDefault="00A537D1">
      <w:pPr>
        <w:pStyle w:val="Heading1"/>
        <w:rPr>
          <w:rFonts w:ascii="Arial" w:hAnsi="Arial" w:cs="Arial"/>
          <w:b w:val="0"/>
          <w:bCs w:val="0"/>
          <w:color w:val="000000" w:themeColor="text1"/>
        </w:rPr>
      </w:pPr>
      <w:r w:rsidRPr="00A537D1">
        <w:rPr>
          <w:rFonts w:ascii="Arial" w:hAnsi="Arial" w:cs="Arial"/>
          <w:color w:val="000000" w:themeColor="text1"/>
        </w:rPr>
        <w:lastRenderedPageBreak/>
        <w:t>2. Recommendation Framework</w:t>
      </w:r>
    </w:p>
    <w:p w14:paraId="6874EB0F" w14:textId="77777777" w:rsidR="000E0301" w:rsidRDefault="000E0301" w:rsidP="009E247F">
      <w:pPr>
        <w:tabs>
          <w:tab w:val="num" w:pos="720"/>
        </w:tabs>
      </w:pPr>
    </w:p>
    <w:p w14:paraId="687994B8" w14:textId="736AEF8D" w:rsidR="009E247F" w:rsidRPr="009E247F" w:rsidRDefault="009E247F" w:rsidP="009E247F">
      <w:pPr>
        <w:tabs>
          <w:tab w:val="num" w:pos="720"/>
        </w:tabs>
        <w:rPr>
          <w:sz w:val="24"/>
          <w:szCs w:val="24"/>
          <w:lang w:val="en-IN"/>
        </w:rPr>
      </w:pPr>
      <w:r w:rsidRPr="009E247F">
        <w:rPr>
          <w:b/>
          <w:bCs/>
          <w:sz w:val="24"/>
          <w:szCs w:val="24"/>
          <w:lang w:val="en-IN"/>
        </w:rPr>
        <w:t>Restated Insight:</w:t>
      </w:r>
      <w:r w:rsidRPr="009E247F">
        <w:rPr>
          <w:sz w:val="24"/>
          <w:szCs w:val="24"/>
          <w:lang w:val="en-IN"/>
        </w:rPr>
        <w:t xml:space="preserve"> Customers with credit utilization greater than 60% are at a significantly higher risk of becoming delinquent.</w:t>
      </w:r>
    </w:p>
    <w:p w14:paraId="1B4B460A" w14:textId="77777777" w:rsidR="009E247F" w:rsidRDefault="009E247F" w:rsidP="006A5F9F">
      <w:pPr>
        <w:rPr>
          <w:sz w:val="24"/>
          <w:szCs w:val="24"/>
          <w:lang w:val="en-IN"/>
        </w:rPr>
      </w:pPr>
      <w:r w:rsidRPr="009E247F">
        <w:rPr>
          <w:b/>
          <w:bCs/>
          <w:sz w:val="24"/>
          <w:szCs w:val="24"/>
          <w:lang w:val="en-IN"/>
        </w:rPr>
        <w:t>Proposed Recommendation:</w:t>
      </w:r>
      <w:r w:rsidRPr="009E247F">
        <w:rPr>
          <w:sz w:val="24"/>
          <w:szCs w:val="24"/>
          <w:lang w:val="en-IN"/>
        </w:rPr>
        <w:t xml:space="preserve"> Implement a targeted credit limit review and early intervention program for customers exceeding 60% credit utilization to reduce delinquency rates.</w:t>
      </w:r>
    </w:p>
    <w:p w14:paraId="79830759" w14:textId="650D0685" w:rsidR="009E247F" w:rsidRPr="009E247F" w:rsidRDefault="006A5F9F" w:rsidP="006A5F9F">
      <w:pPr>
        <w:rPr>
          <w:sz w:val="24"/>
          <w:szCs w:val="24"/>
          <w:lang w:val="en-IN"/>
        </w:rPr>
      </w:pPr>
      <w:r w:rsidRPr="006A5F9F">
        <w:rPr>
          <w:b/>
          <w:bCs/>
          <w:sz w:val="24"/>
          <w:szCs w:val="24"/>
        </w:rPr>
        <w:t>FRAMEWORK</w:t>
      </w:r>
      <w:r>
        <w:rPr>
          <w:sz w:val="24"/>
          <w:szCs w:val="24"/>
        </w:rPr>
        <w:t>:</w:t>
      </w:r>
      <w:r w:rsidR="00DD7D44">
        <w:rPr>
          <w:sz w:val="24"/>
          <w:szCs w:val="24"/>
        </w:rPr>
        <w:t xml:space="preserve"> </w:t>
      </w:r>
      <w:r>
        <w:rPr>
          <w:sz w:val="24"/>
          <w:szCs w:val="24"/>
        </w:rPr>
        <w:t>i</w:t>
      </w:r>
      <w:r w:rsidRPr="006A5F9F">
        <w:rPr>
          <w:sz w:val="24"/>
          <w:szCs w:val="24"/>
        </w:rPr>
        <w:t>dentify customers with credit utilization above 60% and proactively offer personalized financial counseling and credit limit adjustments. The goal is measurable by aiming to reduce delinquency rates within this group by 15% over the next 12 months. This is actionable by developing monitoring systems to flag customers crossing the threshold and launching tailored outreach campaigns. The intervention is relevant as it targets a high-impact risk factor identified by the model, directly contributing to lowering defaults. The plan is time-bound to start rolling out within 3 months and achieve measurable outcomes within a year, ensuring focused and accountable execution aligned with business objectives.</w:t>
      </w:r>
    </w:p>
    <w:p w14:paraId="32BDE55B" w14:textId="590F4261" w:rsidR="009E247F" w:rsidRPr="009E247F" w:rsidRDefault="009E247F" w:rsidP="009E247F">
      <w:pPr>
        <w:rPr>
          <w:sz w:val="24"/>
          <w:szCs w:val="24"/>
          <w:lang w:val="en-IN"/>
        </w:rPr>
      </w:pPr>
      <w:r w:rsidRPr="009E247F">
        <w:rPr>
          <w:b/>
          <w:bCs/>
          <w:sz w:val="24"/>
          <w:szCs w:val="24"/>
          <w:lang w:val="en-IN"/>
        </w:rPr>
        <w:t>Justification and Business Rationale:</w:t>
      </w:r>
      <w:r w:rsidRPr="009E247F">
        <w:rPr>
          <w:sz w:val="24"/>
          <w:szCs w:val="24"/>
          <w:lang w:val="en-IN"/>
        </w:rPr>
        <w:br/>
        <w:t xml:space="preserve">Targeting customers exhibiting high credit utilization is a strategic approach to </w:t>
      </w:r>
      <w:proofErr w:type="spellStart"/>
      <w:r w:rsidRPr="009E247F">
        <w:rPr>
          <w:sz w:val="24"/>
          <w:szCs w:val="24"/>
          <w:lang w:val="en-IN"/>
        </w:rPr>
        <w:t>preempt</w:t>
      </w:r>
      <w:proofErr w:type="spellEnd"/>
      <w:r w:rsidRPr="009E247F">
        <w:rPr>
          <w:sz w:val="24"/>
          <w:szCs w:val="24"/>
          <w:lang w:val="en-IN"/>
        </w:rPr>
        <w:t xml:space="preserve"> delinquency, as this group shows a clear risk signal. Early intervention can prevent default losses and improve credit portfolio health. </w:t>
      </w:r>
    </w:p>
    <w:p w14:paraId="08E6A272" w14:textId="77777777" w:rsidR="007D72C2" w:rsidRPr="00A537D1" w:rsidRDefault="00A537D1">
      <w:pPr>
        <w:pStyle w:val="Heading1"/>
        <w:rPr>
          <w:rFonts w:ascii="Arial" w:hAnsi="Arial" w:cs="Arial"/>
          <w:color w:val="000000" w:themeColor="text1"/>
        </w:rPr>
      </w:pPr>
      <w:r w:rsidRPr="00A537D1">
        <w:rPr>
          <w:rFonts w:ascii="Arial" w:hAnsi="Arial" w:cs="Arial"/>
          <w:color w:val="000000" w:themeColor="text1"/>
        </w:rPr>
        <w:t>3. Ethical and Responsible AI Considerations</w:t>
      </w:r>
    </w:p>
    <w:p w14:paraId="33EC1793" w14:textId="0FB2FB22" w:rsidR="007D72C2" w:rsidRDefault="007D72C2">
      <w:pPr>
        <w:rPr>
          <w:rFonts w:ascii="Arial" w:hAnsi="Arial" w:cs="Arial"/>
          <w:color w:val="000000" w:themeColor="text1"/>
        </w:rPr>
      </w:pPr>
    </w:p>
    <w:p w14:paraId="22CB7817" w14:textId="77777777" w:rsidR="006547F2" w:rsidRPr="006547F2" w:rsidRDefault="006547F2" w:rsidP="006547F2">
      <w:pPr>
        <w:rPr>
          <w:rFonts w:cs="Arial"/>
          <w:color w:val="000000" w:themeColor="text1"/>
          <w:sz w:val="24"/>
          <w:szCs w:val="24"/>
          <w:lang w:val="en-IN"/>
        </w:rPr>
      </w:pPr>
      <w:r w:rsidRPr="006547F2">
        <w:rPr>
          <w:rFonts w:cs="Arial"/>
          <w:color w:val="000000" w:themeColor="text1"/>
          <w:sz w:val="24"/>
          <w:szCs w:val="24"/>
          <w:lang w:val="en-IN"/>
        </w:rPr>
        <w:t xml:space="preserve">Our model is designed to support fair and responsible lending decisions by </w:t>
      </w:r>
      <w:proofErr w:type="spellStart"/>
      <w:r w:rsidRPr="006547F2">
        <w:rPr>
          <w:rFonts w:cs="Arial"/>
          <w:color w:val="000000" w:themeColor="text1"/>
          <w:sz w:val="24"/>
          <w:szCs w:val="24"/>
          <w:lang w:val="en-IN"/>
        </w:rPr>
        <w:t>analyzing</w:t>
      </w:r>
      <w:proofErr w:type="spellEnd"/>
      <w:r w:rsidRPr="006547F2">
        <w:rPr>
          <w:rFonts w:cs="Arial"/>
          <w:color w:val="000000" w:themeColor="text1"/>
          <w:sz w:val="24"/>
          <w:szCs w:val="24"/>
          <w:lang w:val="en-IN"/>
        </w:rPr>
        <w:t xml:space="preserve"> a wide range of factors like credit utilization and payment history without relying on sensitive personal characteristics like race or gender. It is transparent, meaning we can clearly show which factors influenced each decision, helping you understand why a customer was flagged as high risk. This openness builds trust and allows for accountability. </w:t>
      </w:r>
    </w:p>
    <w:p w14:paraId="51815E57" w14:textId="35F8AD82" w:rsidR="006547F2" w:rsidRPr="00903125" w:rsidRDefault="006547F2">
      <w:pPr>
        <w:rPr>
          <w:rFonts w:cs="Arial"/>
          <w:color w:val="000000" w:themeColor="text1"/>
          <w:sz w:val="24"/>
          <w:szCs w:val="24"/>
          <w:lang w:val="en-IN"/>
        </w:rPr>
      </w:pPr>
      <w:r w:rsidRPr="006547F2">
        <w:rPr>
          <w:rFonts w:cs="Arial"/>
          <w:color w:val="000000" w:themeColor="text1"/>
          <w:sz w:val="24"/>
          <w:szCs w:val="24"/>
          <w:lang w:val="en-IN"/>
        </w:rPr>
        <w:t xml:space="preserve">Moreover, the model's recommendations encourage responsible financial </w:t>
      </w:r>
      <w:proofErr w:type="spellStart"/>
      <w:r w:rsidRPr="006547F2">
        <w:rPr>
          <w:rFonts w:cs="Arial"/>
          <w:color w:val="000000" w:themeColor="text1"/>
          <w:sz w:val="24"/>
          <w:szCs w:val="24"/>
          <w:lang w:val="en-IN"/>
        </w:rPr>
        <w:t>behavior</w:t>
      </w:r>
      <w:proofErr w:type="spellEnd"/>
      <w:r w:rsidRPr="006547F2">
        <w:rPr>
          <w:rFonts w:cs="Arial"/>
          <w:color w:val="000000" w:themeColor="text1"/>
          <w:sz w:val="24"/>
          <w:szCs w:val="24"/>
          <w:lang w:val="en-IN"/>
        </w:rPr>
        <w:t xml:space="preserve"> by identifying customers who may benefit from </w:t>
      </w:r>
      <w:proofErr w:type="spellStart"/>
      <w:r w:rsidRPr="006547F2">
        <w:rPr>
          <w:rFonts w:cs="Arial"/>
          <w:color w:val="000000" w:themeColor="text1"/>
          <w:sz w:val="24"/>
          <w:szCs w:val="24"/>
          <w:lang w:val="en-IN"/>
        </w:rPr>
        <w:t>counseling</w:t>
      </w:r>
      <w:proofErr w:type="spellEnd"/>
      <w:r w:rsidRPr="006547F2">
        <w:rPr>
          <w:rFonts w:cs="Arial"/>
          <w:color w:val="000000" w:themeColor="text1"/>
          <w:sz w:val="24"/>
          <w:szCs w:val="24"/>
          <w:lang w:val="en-IN"/>
        </w:rPr>
        <w:t xml:space="preserve"> or credit adjustments, rather than simply denying credit. We also continuously test and monitor the model to detect and reduce any biases, ensuring that no group is unfairly treated. This approach aligns closely with your values of fairness, transparency, and supporting customers’ financial well-being.</w:t>
      </w:r>
    </w:p>
    <w:sectPr w:rsidR="006547F2" w:rsidRPr="009031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52A5476"/>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C1898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181F50"/>
    <w:multiLevelType w:val="hybridMultilevel"/>
    <w:tmpl w:val="F1EA60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DA03E4"/>
    <w:multiLevelType w:val="multilevel"/>
    <w:tmpl w:val="ED6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A1900"/>
    <w:multiLevelType w:val="multilevel"/>
    <w:tmpl w:val="B3CE5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711967"/>
    <w:multiLevelType w:val="multilevel"/>
    <w:tmpl w:val="85E6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9674117">
    <w:abstractNumId w:val="8"/>
  </w:num>
  <w:num w:numId="2" w16cid:durableId="1801531605">
    <w:abstractNumId w:val="6"/>
  </w:num>
  <w:num w:numId="3" w16cid:durableId="486094038">
    <w:abstractNumId w:val="5"/>
  </w:num>
  <w:num w:numId="4" w16cid:durableId="255750852">
    <w:abstractNumId w:val="4"/>
  </w:num>
  <w:num w:numId="5" w16cid:durableId="1951626911">
    <w:abstractNumId w:val="7"/>
  </w:num>
  <w:num w:numId="6" w16cid:durableId="1111168920">
    <w:abstractNumId w:val="3"/>
  </w:num>
  <w:num w:numId="7" w16cid:durableId="124276201">
    <w:abstractNumId w:val="2"/>
  </w:num>
  <w:num w:numId="8" w16cid:durableId="1778476411">
    <w:abstractNumId w:val="1"/>
  </w:num>
  <w:num w:numId="9" w16cid:durableId="1111129504">
    <w:abstractNumId w:val="0"/>
  </w:num>
  <w:num w:numId="10" w16cid:durableId="569078305">
    <w:abstractNumId w:val="9"/>
  </w:num>
  <w:num w:numId="11" w16cid:durableId="1659458313">
    <w:abstractNumId w:val="10"/>
  </w:num>
  <w:num w:numId="12" w16cid:durableId="2101562237">
    <w:abstractNumId w:val="12"/>
  </w:num>
  <w:num w:numId="13" w16cid:durableId="323289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301"/>
    <w:rsid w:val="0015074B"/>
    <w:rsid w:val="0029639D"/>
    <w:rsid w:val="00326F90"/>
    <w:rsid w:val="004E7FE0"/>
    <w:rsid w:val="006547F2"/>
    <w:rsid w:val="006832D6"/>
    <w:rsid w:val="006A5F9F"/>
    <w:rsid w:val="007D72C2"/>
    <w:rsid w:val="008237CA"/>
    <w:rsid w:val="00903125"/>
    <w:rsid w:val="009E247F"/>
    <w:rsid w:val="00A537D1"/>
    <w:rsid w:val="00AA1D8D"/>
    <w:rsid w:val="00B47730"/>
    <w:rsid w:val="00BB77D8"/>
    <w:rsid w:val="00CB0664"/>
    <w:rsid w:val="00DD7D44"/>
    <w:rsid w:val="00E238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DB5BE"/>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7D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A5A5A5"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DDDDD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DDDDD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DDDDD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6E6E6E"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DDDDD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A5A5A5"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DDDDD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DDDDDD" w:themeColor="accent1"/>
    </w:rPr>
  </w:style>
  <w:style w:type="paragraph" w:styleId="Title">
    <w:name w:val="Title"/>
    <w:basedOn w:val="Normal"/>
    <w:next w:val="Normal"/>
    <w:link w:val="TitleChar"/>
    <w:uiPriority w:val="10"/>
    <w:qFormat/>
    <w:rsid w:val="00FC693F"/>
    <w:pPr>
      <w:pBdr>
        <w:bottom w:val="single" w:sz="8" w:space="4" w:color="DDDDDD" w:themeColor="accent1"/>
      </w:pBdr>
      <w:spacing w:after="30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DDDDD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DDDDD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DDDDD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6E6E6E"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6E6E6E"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DDDDD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DDDDD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DDDDDD" w:themeColor="accent1"/>
      </w:pBdr>
      <w:spacing w:before="200" w:after="280"/>
      <w:ind w:left="936" w:right="936"/>
    </w:pPr>
    <w:rPr>
      <w:b/>
      <w:bCs/>
      <w:i/>
      <w:iCs/>
      <w:color w:val="DDDDDD" w:themeColor="accent1"/>
    </w:rPr>
  </w:style>
  <w:style w:type="character" w:customStyle="1" w:styleId="IntenseQuoteChar">
    <w:name w:val="Intense Quote Char"/>
    <w:basedOn w:val="DefaultParagraphFont"/>
    <w:link w:val="IntenseQuote"/>
    <w:uiPriority w:val="30"/>
    <w:rsid w:val="00FC693F"/>
    <w:rPr>
      <w:b/>
      <w:bCs/>
      <w:i/>
      <w:iCs/>
      <w:color w:val="DDDDD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DDDDDD" w:themeColor="accent1"/>
    </w:rPr>
  </w:style>
  <w:style w:type="character" w:styleId="SubtleReference">
    <w:name w:val="Subtle Reference"/>
    <w:basedOn w:val="DefaultParagraphFont"/>
    <w:uiPriority w:val="31"/>
    <w:qFormat/>
    <w:rsid w:val="00FC693F"/>
    <w:rPr>
      <w:smallCaps/>
      <w:color w:val="B2B2B2" w:themeColor="accent2"/>
      <w:u w:val="single"/>
    </w:rPr>
  </w:style>
  <w:style w:type="character" w:styleId="IntenseReference">
    <w:name w:val="Intense Reference"/>
    <w:basedOn w:val="DefaultParagraphFont"/>
    <w:uiPriority w:val="32"/>
    <w:qFormat/>
    <w:rsid w:val="00FC693F"/>
    <w:rPr>
      <w:b/>
      <w:bCs/>
      <w:smallCaps/>
      <w:color w:val="B2B2B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styleId="Hyperlink">
    <w:name w:val="Hyperlink"/>
    <w:basedOn w:val="DefaultParagraphFont"/>
    <w:uiPriority w:val="99"/>
    <w:unhideWhenUsed/>
    <w:rsid w:val="006547F2"/>
    <w:rPr>
      <w:color w:val="5F5F5F" w:themeColor="hyperlink"/>
      <w:u w:val="single"/>
    </w:rPr>
  </w:style>
  <w:style w:type="character" w:styleId="UnresolvedMention">
    <w:name w:val="Unresolved Mention"/>
    <w:basedOn w:val="DefaultParagraphFont"/>
    <w:uiPriority w:val="99"/>
    <w:semiHidden/>
    <w:unhideWhenUsed/>
    <w:rsid w:val="00654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589</Words>
  <Characters>3363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Ikshitha Pudi</cp:lastModifiedBy>
  <cp:revision>2</cp:revision>
  <dcterms:created xsi:type="dcterms:W3CDTF">2025-11-17T08:46:00Z</dcterms:created>
  <dcterms:modified xsi:type="dcterms:W3CDTF">2025-11-17T08:46:00Z</dcterms:modified>
  <cp:category/>
</cp:coreProperties>
</file>